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1479F3">
      <w:pPr>
        <w:pStyle w:val="14"/>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0F4EE81">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70F4EE81">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1E5C5B03">
      <w:pPr>
        <w:pStyle w:val="14"/>
        <w:jc w:val="center"/>
        <w:rPr>
          <w:sz w:val="56"/>
          <w:szCs w:val="56"/>
        </w:rPr>
      </w:pPr>
    </w:p>
    <w:p w14:paraId="3A8D4960">
      <w:pPr>
        <w:pStyle w:val="14"/>
        <w:jc w:val="center"/>
        <w:rPr>
          <w:sz w:val="84"/>
          <w:szCs w:val="84"/>
        </w:rPr>
      </w:pPr>
    </w:p>
    <w:p w14:paraId="27C2AAC0">
      <w:pPr>
        <w:pStyle w:val="14"/>
        <w:jc w:val="center"/>
        <w:rPr>
          <w:sz w:val="84"/>
          <w:szCs w:val="84"/>
        </w:rPr>
      </w:pPr>
    </w:p>
    <w:p w14:paraId="6AB690E5">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537089A5">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永州市工业和信息化局</w:t>
      </w:r>
      <w:r>
        <w:rPr>
          <w:rFonts w:hint="eastAsia" w:ascii="方正小标宋_GBK" w:hAnsi="方正小标宋_GBK" w:eastAsia="方正小标宋_GBK" w:cs="方正小标宋_GBK"/>
          <w:sz w:val="84"/>
          <w:szCs w:val="84"/>
        </w:rPr>
        <w:t>部门</w:t>
      </w:r>
      <w:r>
        <w:rPr>
          <w:rFonts w:hint="eastAsia" w:ascii="方正小标宋_GBK" w:hAnsi="方正小标宋_GBK" w:eastAsia="方正小标宋_GBK" w:cs="方正小标宋_GBK"/>
          <w:sz w:val="84"/>
          <w:szCs w:val="84"/>
          <w:lang w:eastAsia="zh-CN"/>
        </w:rPr>
        <w:t>（</w:t>
      </w:r>
      <w:r>
        <w:rPr>
          <w:rFonts w:hint="eastAsia" w:ascii="方正小标宋_GBK" w:hAnsi="方正小标宋_GBK" w:eastAsia="方正小标宋_GBK" w:cs="方正小标宋_GBK"/>
          <w:sz w:val="84"/>
          <w:szCs w:val="84"/>
          <w:lang w:val="en-US" w:eastAsia="zh-CN"/>
        </w:rPr>
        <w:t>汇总</w:t>
      </w:r>
      <w:r>
        <w:rPr>
          <w:rFonts w:hint="eastAsia" w:ascii="方正小标宋_GBK" w:hAnsi="方正小标宋_GBK" w:eastAsia="方正小标宋_GBK" w:cs="方正小标宋_GBK"/>
          <w:sz w:val="84"/>
          <w:szCs w:val="84"/>
          <w:lang w:eastAsia="zh-CN"/>
        </w:rPr>
        <w:t>）</w:t>
      </w:r>
      <w:r>
        <w:rPr>
          <w:rFonts w:hint="eastAsia" w:ascii="方正小标宋_GBK" w:hAnsi="方正小标宋_GBK" w:eastAsia="方正小标宋_GBK" w:cs="方正小标宋_GBK"/>
          <w:sz w:val="84"/>
          <w:szCs w:val="84"/>
        </w:rPr>
        <w:t>决算</w:t>
      </w:r>
    </w:p>
    <w:p w14:paraId="593C3E85">
      <w:pPr>
        <w:pStyle w:val="14"/>
        <w:jc w:val="center"/>
        <w:rPr>
          <w:rFonts w:hint="eastAsia" w:ascii="方正小标宋_GBK" w:hAnsi="方正小标宋_GBK" w:eastAsia="方正小标宋_GBK" w:cs="方正小标宋_GBK"/>
          <w:sz w:val="56"/>
          <w:szCs w:val="56"/>
        </w:rPr>
      </w:pPr>
    </w:p>
    <w:p w14:paraId="4AADEE26">
      <w:pPr>
        <w:pStyle w:val="14"/>
        <w:jc w:val="center"/>
        <w:rPr>
          <w:sz w:val="56"/>
          <w:szCs w:val="56"/>
        </w:rPr>
      </w:pPr>
    </w:p>
    <w:p w14:paraId="076C9772">
      <w:pPr>
        <w:pStyle w:val="14"/>
        <w:jc w:val="center"/>
        <w:rPr>
          <w:sz w:val="56"/>
          <w:szCs w:val="56"/>
        </w:rPr>
      </w:pPr>
    </w:p>
    <w:p w14:paraId="236B814E">
      <w:pPr>
        <w:pStyle w:val="14"/>
        <w:jc w:val="center"/>
        <w:rPr>
          <w:sz w:val="56"/>
          <w:szCs w:val="56"/>
        </w:rPr>
      </w:pPr>
    </w:p>
    <w:p w14:paraId="532B80C2">
      <w:pPr>
        <w:pStyle w:val="14"/>
        <w:spacing w:line="500" w:lineRule="exact"/>
        <w:jc w:val="both"/>
        <w:rPr>
          <w:b/>
          <w:sz w:val="36"/>
          <w:szCs w:val="28"/>
        </w:rPr>
      </w:pPr>
    </w:p>
    <w:p w14:paraId="2AE26C87">
      <w:pPr>
        <w:pStyle w:val="14"/>
        <w:keepNext w:val="0"/>
        <w:keepLines w:val="0"/>
        <w:pageBreakBefore w:val="0"/>
        <w:widowControl w:val="0"/>
        <w:kinsoku/>
        <w:wordWrap/>
        <w:overflowPunct/>
        <w:topLinePunct w:val="0"/>
        <w:bidi w:val="0"/>
        <w:snapToGrid/>
        <w:spacing w:line="440" w:lineRule="exact"/>
        <w:jc w:val="center"/>
        <w:textAlignment w:val="auto"/>
        <w:rPr>
          <w:b/>
          <w:sz w:val="36"/>
          <w:szCs w:val="28"/>
        </w:rPr>
      </w:pPr>
      <w:r>
        <w:rPr>
          <w:rFonts w:hint="eastAsia"/>
          <w:b/>
          <w:sz w:val="36"/>
          <w:szCs w:val="28"/>
        </w:rPr>
        <w:t>目录</w:t>
      </w:r>
    </w:p>
    <w:p w14:paraId="6E22BE47">
      <w:pPr>
        <w:pStyle w:val="14"/>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永州市工业和信息化局部门</w:t>
      </w:r>
      <w:r>
        <w:rPr>
          <w:rFonts w:hint="eastAsia" w:ascii="黑体" w:hAnsi="黑体" w:eastAsia="黑体" w:cs="黑体"/>
          <w:b w:val="0"/>
          <w:bCs/>
          <w:sz w:val="28"/>
          <w:szCs w:val="28"/>
        </w:rPr>
        <w:t>概况</w:t>
      </w:r>
    </w:p>
    <w:p w14:paraId="146B7D54">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354BA225">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3785DAD2">
      <w:pPr>
        <w:pStyle w:val="14"/>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766C993C">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C0884DF">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5844751F">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7C0CA609">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523D19C">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52EB1443">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224E35C3">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0AC29135">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05FED4B5">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082F37C2">
      <w:pPr>
        <w:pStyle w:val="14"/>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22FE94EF">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141C7DF6">
      <w:pPr>
        <w:keepNext w:val="0"/>
        <w:keepLines w:val="0"/>
        <w:pageBreakBefore w:val="0"/>
        <w:widowControl w:val="0"/>
        <w:kinsoku/>
        <w:wordWrap/>
        <w:overflowPunct/>
        <w:topLinePunct w:val="0"/>
        <w:bidi w:val="0"/>
        <w:snapToGrid/>
        <w:spacing w:line="440" w:lineRule="exact"/>
        <w:ind w:firstLine="700" w:firstLineChars="25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59E8B43">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7F81B60F">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4321C39F">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48EC5ECF">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A90106E">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1C4378AF">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8D32C7E">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518C1E99">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35742DA6">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2DED7E02">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5B426B53">
      <w:pPr>
        <w:pStyle w:val="1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2530BAD7">
      <w:pPr>
        <w:pStyle w:val="14"/>
        <w:keepNext w:val="0"/>
        <w:keepLines w:val="0"/>
        <w:pageBreakBefore w:val="0"/>
        <w:widowControl w:val="0"/>
        <w:kinsoku/>
        <w:wordWrap/>
        <w:overflowPunct/>
        <w:topLinePunct w:val="0"/>
        <w:bidi w:val="0"/>
        <w:snapToGrid/>
        <w:spacing w:line="44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36B67ED3">
      <w:pPr>
        <w:pStyle w:val="14"/>
        <w:keepNext w:val="0"/>
        <w:keepLines w:val="0"/>
        <w:pageBreakBefore w:val="0"/>
        <w:widowControl w:val="0"/>
        <w:kinsoku/>
        <w:wordWrap/>
        <w:overflowPunct/>
        <w:topLinePunct w:val="0"/>
        <w:bidi w:val="0"/>
        <w:snapToGrid/>
        <w:spacing w:line="440" w:lineRule="exact"/>
        <w:textAlignment w:val="auto"/>
        <w:rPr>
          <w:sz w:val="72"/>
          <w:szCs w:val="72"/>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70B3C984">
      <w:pPr>
        <w:jc w:val="both"/>
        <w:rPr>
          <w:sz w:val="72"/>
          <w:szCs w:val="72"/>
        </w:rPr>
      </w:pPr>
    </w:p>
    <w:p w14:paraId="0C131791">
      <w:pPr>
        <w:rPr>
          <w:rFonts w:hint="eastAsia" w:ascii="方正小标宋_GBK" w:hAnsi="方正小标宋_GBK" w:eastAsia="方正小标宋_GBK" w:cs="方正小标宋_GBK"/>
          <w:sz w:val="72"/>
          <w:szCs w:val="72"/>
        </w:rPr>
      </w:pPr>
    </w:p>
    <w:p w14:paraId="569A21EB">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3D11AFA">
      <w:pPr>
        <w:pStyle w:val="14"/>
        <w:jc w:val="center"/>
        <w:rPr>
          <w:rFonts w:hint="eastAsia" w:ascii="方正小标宋_GBK" w:hAnsi="方正小标宋_GBK" w:eastAsia="方正小标宋_GBK" w:cs="方正小标宋_GBK"/>
          <w:sz w:val="84"/>
          <w:szCs w:val="84"/>
        </w:rPr>
      </w:pPr>
    </w:p>
    <w:p w14:paraId="5B8E82FD">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永州市工业和信息化局</w:t>
      </w:r>
      <w:r>
        <w:rPr>
          <w:rFonts w:hint="eastAsia" w:ascii="方正小标宋_GBK" w:hAnsi="方正小标宋_GBK" w:eastAsia="方正小标宋_GBK" w:cs="方正小标宋_GBK"/>
          <w:sz w:val="84"/>
          <w:szCs w:val="84"/>
          <w:lang w:eastAsia="zh-CN"/>
        </w:rPr>
        <w:t>部门</w:t>
      </w:r>
      <w:r>
        <w:rPr>
          <w:rFonts w:hint="eastAsia" w:ascii="方正小标宋_GBK" w:hAnsi="方正小标宋_GBK" w:eastAsia="方正小标宋_GBK" w:cs="方正小标宋_GBK"/>
          <w:sz w:val="84"/>
          <w:szCs w:val="84"/>
        </w:rPr>
        <w:t>概况</w:t>
      </w:r>
    </w:p>
    <w:p w14:paraId="65EBDB88">
      <w:pPr>
        <w:jc w:val="center"/>
        <w:rPr>
          <w:rFonts w:hint="eastAsia" w:ascii="方正小标宋_GBK" w:hAnsi="方正小标宋_GBK" w:eastAsia="方正小标宋_GBK" w:cs="方正小标宋_GBK"/>
          <w:sz w:val="72"/>
          <w:szCs w:val="72"/>
        </w:rPr>
      </w:pPr>
    </w:p>
    <w:p w14:paraId="16EEA152">
      <w:pPr>
        <w:jc w:val="center"/>
        <w:rPr>
          <w:rFonts w:hint="eastAsia" w:ascii="方正小标宋_GBK" w:hAnsi="方正小标宋_GBK" w:eastAsia="方正小标宋_GBK" w:cs="方正小标宋_GBK"/>
          <w:sz w:val="72"/>
          <w:szCs w:val="72"/>
        </w:rPr>
      </w:pPr>
    </w:p>
    <w:p w14:paraId="1193D7CC">
      <w:pPr>
        <w:jc w:val="center"/>
        <w:rPr>
          <w:sz w:val="72"/>
          <w:szCs w:val="72"/>
        </w:rPr>
      </w:pPr>
    </w:p>
    <w:p w14:paraId="4F70B485">
      <w:pPr>
        <w:jc w:val="both"/>
        <w:rPr>
          <w:sz w:val="72"/>
          <w:szCs w:val="72"/>
        </w:rPr>
      </w:pPr>
    </w:p>
    <w:p w14:paraId="54574C45">
      <w:pPr>
        <w:pStyle w:val="15"/>
        <w:numPr>
          <w:ilvl w:val="0"/>
          <w:numId w:val="1"/>
        </w:numPr>
        <w:ind w:left="1350" w:leftChars="0"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5B46952D">
      <w:pPr>
        <w:keepNext w:val="0"/>
        <w:keepLines w:val="0"/>
        <w:pageBreakBefore w:val="0"/>
        <w:kinsoku/>
        <w:wordWrap/>
        <w:overflowPunct/>
        <w:topLinePunct w:val="0"/>
        <w:bidi w:val="0"/>
        <w:adjustRightInd/>
        <w:snapToGrid/>
        <w:spacing w:line="560" w:lineRule="exact"/>
        <w:ind w:firstLine="640" w:firstLineChars="200"/>
        <w:jc w:val="left"/>
        <w:textAlignment w:val="auto"/>
        <w:rPr>
          <w:rFonts w:hint="eastAsia" w:ascii="楷体" w:hAnsi="楷体" w:eastAsia="楷体" w:cs="楷体"/>
          <w:b/>
          <w:bCs/>
          <w:kern w:val="0"/>
          <w:sz w:val="32"/>
          <w:szCs w:val="32"/>
        </w:rPr>
      </w:pPr>
      <w:r>
        <w:rPr>
          <w:rFonts w:hint="eastAsia" w:ascii="Times New Roman" w:hAnsi="Times New Roman" w:eastAsia="仿宋_GB2312" w:cs="仿宋_GB2312"/>
          <w:sz w:val="32"/>
          <w:szCs w:val="32"/>
        </w:rPr>
        <w:t>（一）</w:t>
      </w:r>
      <w:r>
        <w:rPr>
          <w:rFonts w:hint="eastAsia" w:ascii="楷体" w:hAnsi="楷体" w:eastAsia="楷体" w:cs="楷体"/>
          <w:b/>
          <w:bCs/>
          <w:kern w:val="0"/>
          <w:sz w:val="32"/>
          <w:szCs w:val="32"/>
        </w:rPr>
        <w:t>主要职能</w:t>
      </w:r>
    </w:p>
    <w:p w14:paraId="3CF0CABA">
      <w:pPr>
        <w:keepNext w:val="0"/>
        <w:keepLines w:val="0"/>
        <w:pageBreakBefore w:val="0"/>
        <w:kinsoku/>
        <w:wordWrap/>
        <w:overflowPunct/>
        <w:topLinePunct w:val="0"/>
        <w:autoSpaceDE w:val="0"/>
        <w:autoSpaceDN w:val="0"/>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仿宋_GB2312" w:hAnsi="仿宋_GB2312" w:eastAsia="仿宋_GB2312" w:cs="仿宋_GB2312"/>
          <w:bCs/>
          <w:kern w:val="0"/>
          <w:sz w:val="32"/>
          <w:szCs w:val="32"/>
        </w:rPr>
        <w:t>负责全市工业经济的日常运行调节，编制并组织实施近期工业经济运行调控目标、政策和措施；监测分析近期工业经济运行态势，统计并发布相关信息，进行预测预警和信息引导，协调解决经济运行中的突出矛盾和问题并提出政策建议。拟订全市新型工业化的发展战略、规划和相关政策措施并组织实施，协调解决有关重大问题；综合管理全市工业经济，指导、协调和服务工业企业；推进信息化和工业化融合；推进全市国民经济和社会信息化；承担全市国防科技工业的综合协调、军民融合推进工作</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承担全市无线电管理工作</w:t>
      </w:r>
      <w:r>
        <w:rPr>
          <w:rFonts w:hint="eastAsia" w:ascii="仿宋_GB2312" w:hAnsi="仿宋_GB2312" w:eastAsia="仿宋_GB2312" w:cs="仿宋_GB2312"/>
          <w:bCs/>
          <w:kern w:val="0"/>
          <w:sz w:val="32"/>
          <w:szCs w:val="32"/>
        </w:rPr>
        <w:t>。</w:t>
      </w:r>
    </w:p>
    <w:p w14:paraId="69B4347A">
      <w:pPr>
        <w:keepNext w:val="0"/>
        <w:keepLines w:val="0"/>
        <w:pageBreakBefore w:val="0"/>
        <w:kinsoku/>
        <w:wordWrap/>
        <w:overflowPunct/>
        <w:topLinePunct w:val="0"/>
        <w:bidi w:val="0"/>
        <w:adjustRightInd/>
        <w:snapToGrid/>
        <w:spacing w:line="560" w:lineRule="exact"/>
        <w:ind w:firstLine="640" w:firstLineChars="200"/>
        <w:jc w:val="left"/>
        <w:textAlignment w:val="auto"/>
        <w:rPr>
          <w:rFonts w:hint="eastAsia" w:ascii="楷体" w:hAnsi="楷体" w:eastAsia="楷体" w:cs="楷体"/>
          <w:b/>
          <w:bCs/>
          <w:sz w:val="32"/>
          <w:szCs w:val="32"/>
        </w:rPr>
      </w:pPr>
      <w:r>
        <w:rPr>
          <w:rFonts w:hint="eastAsia" w:ascii="Times New Roman" w:hAnsi="Times New Roman" w:eastAsia="仿宋_GB2312" w:cs="仿宋_GB2312"/>
          <w:sz w:val="32"/>
          <w:szCs w:val="32"/>
        </w:rPr>
        <w:t>（二）</w:t>
      </w:r>
      <w:r>
        <w:rPr>
          <w:rFonts w:hint="eastAsia" w:ascii="楷体" w:hAnsi="楷体" w:eastAsia="楷体" w:cs="楷体"/>
          <w:b/>
          <w:bCs/>
          <w:sz w:val="32"/>
          <w:szCs w:val="32"/>
        </w:rPr>
        <w:t>人员情况</w:t>
      </w:r>
    </w:p>
    <w:p w14:paraId="0CFBAECA">
      <w:pPr>
        <w:keepNext w:val="0"/>
        <w:keepLines w:val="0"/>
        <w:pageBreakBefore w:val="0"/>
        <w:widowControl/>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val="en-US" w:eastAsia="zh-CN"/>
        </w:rPr>
        <w:t>纳入</w:t>
      </w:r>
      <w:r>
        <w:rPr>
          <w:rFonts w:hint="eastAsia" w:ascii="仿宋_GB2312" w:hAnsi="仿宋_GB2312" w:eastAsia="仿宋_GB2312" w:cs="仿宋_GB2312"/>
          <w:bCs/>
          <w:kern w:val="0"/>
          <w:sz w:val="32"/>
          <w:szCs w:val="32"/>
        </w:rPr>
        <w:t>市工信局</w:t>
      </w:r>
      <w:r>
        <w:rPr>
          <w:rFonts w:hint="eastAsia" w:ascii="仿宋_GB2312" w:hAnsi="仿宋_GB2312" w:eastAsia="仿宋_GB2312" w:cs="仿宋_GB2312"/>
          <w:bCs/>
          <w:kern w:val="0"/>
          <w:sz w:val="32"/>
          <w:szCs w:val="32"/>
          <w:lang w:val="en-US" w:eastAsia="zh-CN"/>
        </w:rPr>
        <w:t>全额拨款</w:t>
      </w:r>
      <w:r>
        <w:rPr>
          <w:rFonts w:hint="eastAsia" w:ascii="仿宋_GB2312" w:hAnsi="仿宋_GB2312" w:eastAsia="仿宋_GB2312" w:cs="仿宋_GB2312"/>
          <w:bCs/>
          <w:kern w:val="0"/>
          <w:sz w:val="32"/>
          <w:szCs w:val="32"/>
        </w:rPr>
        <w:t>编制合计为</w:t>
      </w:r>
      <w:r>
        <w:rPr>
          <w:rFonts w:hint="eastAsia" w:ascii="仿宋_GB2312" w:hAnsi="仿宋_GB2312" w:eastAsia="仿宋_GB2312" w:cs="仿宋_GB2312"/>
          <w:bCs/>
          <w:kern w:val="0"/>
          <w:sz w:val="32"/>
          <w:szCs w:val="32"/>
          <w:lang w:val="en-US" w:eastAsia="zh-CN"/>
        </w:rPr>
        <w:t>64</w:t>
      </w:r>
      <w:r>
        <w:rPr>
          <w:rFonts w:hint="eastAsia" w:ascii="仿宋_GB2312" w:hAnsi="仿宋_GB2312" w:eastAsia="仿宋_GB2312" w:cs="仿宋_GB2312"/>
          <w:bCs/>
          <w:kern w:val="0"/>
          <w:sz w:val="32"/>
          <w:szCs w:val="32"/>
        </w:rPr>
        <w:t>个，其中：行政编制</w:t>
      </w:r>
      <w:r>
        <w:rPr>
          <w:rFonts w:hint="eastAsia" w:ascii="仿宋_GB2312" w:hAnsi="仿宋_GB2312" w:eastAsia="仿宋_GB2312" w:cs="仿宋_GB2312"/>
          <w:bCs/>
          <w:kern w:val="0"/>
          <w:sz w:val="32"/>
          <w:szCs w:val="32"/>
          <w:lang w:val="en-US" w:eastAsia="zh-CN"/>
        </w:rPr>
        <w:t>42</w:t>
      </w:r>
      <w:r>
        <w:rPr>
          <w:rFonts w:hint="eastAsia" w:ascii="仿宋_GB2312" w:hAnsi="仿宋_GB2312" w:eastAsia="仿宋_GB2312" w:cs="仿宋_GB2312"/>
          <w:bCs/>
          <w:kern w:val="0"/>
          <w:sz w:val="32"/>
          <w:szCs w:val="32"/>
        </w:rPr>
        <w:t>个，</w:t>
      </w:r>
      <w:r>
        <w:rPr>
          <w:rFonts w:hint="eastAsia" w:ascii="仿宋_GB2312" w:hAnsi="仿宋_GB2312" w:eastAsia="仿宋_GB2312" w:cs="仿宋_GB2312"/>
          <w:bCs/>
          <w:kern w:val="0"/>
          <w:sz w:val="32"/>
          <w:szCs w:val="32"/>
          <w:lang w:val="en-US" w:eastAsia="zh-CN"/>
        </w:rPr>
        <w:t>机关</w:t>
      </w:r>
      <w:r>
        <w:rPr>
          <w:rFonts w:hint="eastAsia" w:ascii="仿宋_GB2312" w:hAnsi="仿宋_GB2312" w:eastAsia="仿宋_GB2312" w:cs="仿宋_GB2312"/>
          <w:bCs/>
          <w:kern w:val="0"/>
          <w:sz w:val="32"/>
          <w:szCs w:val="32"/>
        </w:rPr>
        <w:t>工勤编制1个，全额拨款事业单位编制</w:t>
      </w:r>
      <w:r>
        <w:rPr>
          <w:rFonts w:hint="eastAsia" w:ascii="仿宋_GB2312" w:hAnsi="仿宋_GB2312" w:eastAsia="仿宋_GB2312" w:cs="仿宋_GB2312"/>
          <w:bCs/>
          <w:kern w:val="0"/>
          <w:sz w:val="32"/>
          <w:szCs w:val="32"/>
          <w:lang w:val="en-US" w:eastAsia="zh-CN"/>
        </w:rPr>
        <w:t>21</w:t>
      </w:r>
      <w:r>
        <w:rPr>
          <w:rFonts w:hint="eastAsia" w:ascii="仿宋_GB2312" w:hAnsi="仿宋_GB2312" w:eastAsia="仿宋_GB2312" w:cs="仿宋_GB2312"/>
          <w:bCs/>
          <w:kern w:val="0"/>
          <w:sz w:val="32"/>
          <w:szCs w:val="32"/>
        </w:rPr>
        <w:t>个（</w:t>
      </w:r>
      <w:r>
        <w:rPr>
          <w:rFonts w:hint="eastAsia" w:ascii="仿宋_GB2312" w:hAnsi="仿宋_GB2312" w:eastAsia="仿宋_GB2312" w:cs="仿宋_GB2312"/>
          <w:bCs/>
          <w:kern w:val="0"/>
          <w:sz w:val="32"/>
          <w:szCs w:val="32"/>
          <w:lang w:val="en-US" w:eastAsia="zh-CN"/>
        </w:rPr>
        <w:t>其中</w:t>
      </w:r>
      <w:r>
        <w:rPr>
          <w:rFonts w:hint="eastAsia" w:ascii="仿宋_GB2312" w:hAnsi="仿宋_GB2312" w:eastAsia="仿宋_GB2312" w:cs="仿宋_GB2312"/>
          <w:bCs/>
          <w:kern w:val="0"/>
          <w:sz w:val="32"/>
          <w:szCs w:val="32"/>
        </w:rPr>
        <w:t>市民营经济发展服务中心</w:t>
      </w:r>
      <w:r>
        <w:rPr>
          <w:rFonts w:hint="eastAsia" w:ascii="仿宋_GB2312" w:hAnsi="仿宋_GB2312" w:eastAsia="仿宋_GB2312" w:cs="仿宋_GB2312"/>
          <w:bCs/>
          <w:kern w:val="0"/>
          <w:sz w:val="32"/>
          <w:szCs w:val="32"/>
          <w:lang w:val="en-US" w:eastAsia="zh-CN"/>
        </w:rPr>
        <w:t>18个，市无线电监测站3个</w:t>
      </w:r>
      <w:r>
        <w:rPr>
          <w:rFonts w:hint="eastAsia" w:ascii="仿宋_GB2312" w:hAnsi="仿宋_GB2312" w:eastAsia="仿宋_GB2312" w:cs="仿宋_GB2312"/>
          <w:bCs/>
          <w:kern w:val="0"/>
          <w:sz w:val="32"/>
          <w:szCs w:val="32"/>
        </w:rPr>
        <w:t>）。</w:t>
      </w:r>
      <w:r>
        <w:rPr>
          <w:rFonts w:hint="eastAsia" w:ascii="仿宋_GB2312" w:hAnsi="仿宋_GB2312" w:eastAsia="仿宋_GB2312" w:cs="仿宋_GB2312"/>
          <w:bCs/>
          <w:kern w:val="0"/>
          <w:sz w:val="32"/>
          <w:szCs w:val="32"/>
          <w:lang w:val="en-US" w:eastAsia="zh-CN"/>
        </w:rPr>
        <w:t>2023年末</w:t>
      </w:r>
      <w:r>
        <w:rPr>
          <w:rFonts w:hint="eastAsia" w:ascii="仿宋_GB2312" w:hAnsi="仿宋_GB2312" w:eastAsia="仿宋_GB2312" w:cs="仿宋_GB2312"/>
          <w:bCs/>
          <w:kern w:val="0"/>
          <w:sz w:val="32"/>
          <w:szCs w:val="32"/>
        </w:rPr>
        <w:t>实有人数</w:t>
      </w:r>
      <w:r>
        <w:rPr>
          <w:rFonts w:hint="eastAsia" w:ascii="仿宋_GB2312" w:hAnsi="仿宋_GB2312" w:eastAsia="仿宋_GB2312" w:cs="仿宋_GB2312"/>
          <w:bCs/>
          <w:kern w:val="0"/>
          <w:sz w:val="32"/>
          <w:szCs w:val="32"/>
          <w:lang w:val="en-US" w:eastAsia="zh-CN"/>
        </w:rPr>
        <w:t>63名</w:t>
      </w:r>
      <w:r>
        <w:rPr>
          <w:rFonts w:hint="eastAsia" w:ascii="仿宋_GB2312" w:hAnsi="仿宋_GB2312" w:eastAsia="仿宋_GB2312" w:cs="仿宋_GB2312"/>
          <w:bCs/>
          <w:kern w:val="0"/>
          <w:sz w:val="32"/>
          <w:szCs w:val="32"/>
        </w:rPr>
        <w:t>（不含4名临聘人员），其中：</w:t>
      </w:r>
      <w:r>
        <w:rPr>
          <w:rFonts w:hint="eastAsia" w:ascii="仿宋_GB2312" w:hAnsi="仿宋_GB2312" w:eastAsia="仿宋_GB2312" w:cs="仿宋_GB2312"/>
          <w:bCs/>
          <w:kern w:val="0"/>
          <w:sz w:val="32"/>
          <w:szCs w:val="32"/>
          <w:lang w:val="en-US" w:eastAsia="zh-CN"/>
        </w:rPr>
        <w:t>行政人员39</w:t>
      </w:r>
      <w:r>
        <w:rPr>
          <w:rFonts w:hint="eastAsia" w:ascii="仿宋_GB2312" w:hAnsi="仿宋_GB2312" w:eastAsia="仿宋_GB2312" w:cs="仿宋_GB2312"/>
          <w:bCs/>
          <w:kern w:val="0"/>
          <w:sz w:val="32"/>
          <w:szCs w:val="32"/>
        </w:rPr>
        <w:t>名，参照公务员法管理事业人员</w:t>
      </w:r>
      <w:r>
        <w:rPr>
          <w:rFonts w:hint="eastAsia" w:ascii="仿宋_GB2312" w:hAnsi="仿宋_GB2312" w:eastAsia="仿宋_GB2312" w:cs="仿宋_GB2312"/>
          <w:bCs/>
          <w:kern w:val="0"/>
          <w:sz w:val="32"/>
          <w:szCs w:val="32"/>
          <w:lang w:val="en-US" w:eastAsia="zh-CN"/>
        </w:rPr>
        <w:t>2人</w:t>
      </w:r>
      <w:r>
        <w:rPr>
          <w:rFonts w:hint="eastAsia" w:ascii="仿宋_GB2312" w:hAnsi="仿宋_GB2312" w:eastAsia="仿宋_GB2312" w:cs="仿宋_GB2312"/>
          <w:bCs/>
          <w:kern w:val="0"/>
          <w:sz w:val="32"/>
          <w:szCs w:val="32"/>
          <w:lang w:eastAsia="zh-CN"/>
        </w:rPr>
        <w:t>，非参公事业人员</w:t>
      </w:r>
      <w:r>
        <w:rPr>
          <w:rFonts w:hint="eastAsia" w:ascii="仿宋_GB2312" w:hAnsi="仿宋_GB2312" w:eastAsia="仿宋_GB2312" w:cs="仿宋_GB2312"/>
          <w:bCs/>
          <w:kern w:val="0"/>
          <w:sz w:val="32"/>
          <w:szCs w:val="32"/>
          <w:lang w:val="en-US" w:eastAsia="zh-CN"/>
        </w:rPr>
        <w:t>22名</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rPr>
        <w:t>离退休人员</w:t>
      </w:r>
      <w:r>
        <w:rPr>
          <w:rFonts w:hint="eastAsia" w:ascii="仿宋_GB2312" w:hAnsi="仿宋_GB2312" w:eastAsia="仿宋_GB2312" w:cs="仿宋_GB2312"/>
          <w:bCs/>
          <w:kern w:val="0"/>
          <w:sz w:val="32"/>
          <w:szCs w:val="32"/>
          <w:lang w:val="en-US" w:eastAsia="zh-CN"/>
        </w:rPr>
        <w:t>48</w:t>
      </w:r>
      <w:r>
        <w:rPr>
          <w:rFonts w:hint="eastAsia" w:ascii="仿宋_GB2312" w:hAnsi="仿宋_GB2312" w:eastAsia="仿宋_GB2312" w:cs="仿宋_GB2312"/>
          <w:bCs/>
          <w:kern w:val="0"/>
          <w:sz w:val="32"/>
          <w:szCs w:val="32"/>
        </w:rPr>
        <w:t>名。</w:t>
      </w:r>
    </w:p>
    <w:p w14:paraId="7C8A3CFD">
      <w:pPr>
        <w:widowControl/>
        <w:spacing w:line="600" w:lineRule="exact"/>
        <w:ind w:firstLine="640" w:firstLineChars="200"/>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73F74B17">
      <w:pPr>
        <w:pStyle w:val="15"/>
        <w:keepNext w:val="0"/>
        <w:keepLines w:val="0"/>
        <w:pageBreakBefore w:val="0"/>
        <w:kinsoku/>
        <w:wordWrap/>
        <w:overflowPunct/>
        <w:topLinePunct w:val="0"/>
        <w:autoSpaceDE w:val="0"/>
        <w:autoSpaceDN w:val="0"/>
        <w:bidi w:val="0"/>
        <w:adjustRightInd/>
        <w:snapToGrid/>
        <w:spacing w:line="560" w:lineRule="exact"/>
        <w:ind w:firstLine="640"/>
        <w:textAlignment w:val="auto"/>
        <w:rPr>
          <w:rFonts w:hint="eastAsia" w:ascii="仿宋_GB2312" w:hAnsi="仿宋_GB2312"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r>
        <w:rPr>
          <w:rFonts w:hint="eastAsia" w:ascii="仿宋_GB2312" w:hAnsi="仿宋_GB2312" w:eastAsia="仿宋_GB2312" w:cs="仿宋_GB2312"/>
          <w:bCs/>
          <w:kern w:val="0"/>
          <w:sz w:val="32"/>
          <w:szCs w:val="32"/>
          <w:lang w:eastAsia="zh-CN"/>
        </w:rPr>
        <w:t>永州市工业和信息化局</w:t>
      </w:r>
      <w:r>
        <w:rPr>
          <w:rFonts w:hint="eastAsia" w:ascii="仿宋_GB2312" w:hAnsi="仿宋_GB2312" w:eastAsia="仿宋_GB2312" w:cs="仿宋_GB2312"/>
          <w:bCs/>
          <w:kern w:val="0"/>
          <w:sz w:val="32"/>
          <w:szCs w:val="32"/>
        </w:rPr>
        <w:t>为正处级单位</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rPr>
        <w:t>单位内设机构包括：办公室、综合法规科、人事科、电子信息产业科、信息化推进科、经济运行监测科、</w:t>
      </w:r>
      <w:r>
        <w:rPr>
          <w:rFonts w:hint="eastAsia" w:ascii="仿宋_GB2312" w:hAnsi="仿宋_GB2312" w:eastAsia="仿宋_GB2312" w:cs="仿宋_GB2312"/>
          <w:bCs/>
          <w:kern w:val="0"/>
          <w:sz w:val="32"/>
          <w:szCs w:val="32"/>
          <w:lang w:val="en-US" w:eastAsia="zh-CN"/>
        </w:rPr>
        <w:t>投资规划科</w:t>
      </w:r>
      <w:r>
        <w:rPr>
          <w:rFonts w:hint="eastAsia" w:ascii="仿宋_GB2312" w:hAnsi="仿宋_GB2312" w:eastAsia="仿宋_GB2312" w:cs="仿宋_GB2312"/>
          <w:bCs/>
          <w:kern w:val="0"/>
          <w:sz w:val="32"/>
          <w:szCs w:val="32"/>
        </w:rPr>
        <w:t>、工业园区管理科、消费品工业科、装备工业科、科技和人工智能科、节能与综合利用科、军民融合产业科、中小企业和非公经济管理服务科、能源运行科、产业政策和合作交流科、</w:t>
      </w:r>
      <w:r>
        <w:rPr>
          <w:rFonts w:hint="eastAsia" w:ascii="仿宋_GB2312" w:hAnsi="仿宋_GB2312" w:eastAsia="仿宋_GB2312" w:cs="仿宋_GB2312"/>
          <w:bCs/>
          <w:kern w:val="0"/>
          <w:sz w:val="32"/>
          <w:szCs w:val="32"/>
          <w:lang w:val="en-US" w:eastAsia="zh-CN"/>
        </w:rPr>
        <w:t>原材料工业科</w:t>
      </w:r>
      <w:r>
        <w:rPr>
          <w:rFonts w:hint="eastAsia" w:ascii="仿宋_GB2312" w:hAnsi="仿宋_GB2312" w:eastAsia="仿宋_GB2312" w:cs="仿宋_GB2312"/>
          <w:bCs/>
          <w:kern w:val="0"/>
          <w:sz w:val="32"/>
          <w:szCs w:val="32"/>
        </w:rPr>
        <w:t>、市委军民融合发展委员会办公室秘书科</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无线电管理科</w:t>
      </w:r>
      <w:r>
        <w:rPr>
          <w:rFonts w:hint="eastAsia" w:ascii="仿宋_GB2312" w:hAnsi="仿宋_GB2312" w:eastAsia="仿宋_GB2312" w:cs="仿宋_GB2312"/>
          <w:bCs/>
          <w:kern w:val="0"/>
          <w:sz w:val="32"/>
          <w:szCs w:val="32"/>
        </w:rPr>
        <w:t>等1</w:t>
      </w:r>
      <w:r>
        <w:rPr>
          <w:rFonts w:hint="eastAsia" w:ascii="仿宋_GB2312" w:hAnsi="仿宋_GB2312" w:eastAsia="仿宋_GB2312" w:cs="仿宋_GB2312"/>
          <w:bCs/>
          <w:kern w:val="0"/>
          <w:sz w:val="32"/>
          <w:szCs w:val="32"/>
          <w:lang w:val="en-US" w:eastAsia="zh-CN"/>
        </w:rPr>
        <w:t>9</w:t>
      </w:r>
      <w:r>
        <w:rPr>
          <w:rFonts w:hint="eastAsia" w:ascii="仿宋_GB2312" w:hAnsi="仿宋_GB2312" w:eastAsia="仿宋_GB2312" w:cs="仿宋_GB2312"/>
          <w:bCs/>
          <w:kern w:val="0"/>
          <w:sz w:val="32"/>
          <w:szCs w:val="32"/>
        </w:rPr>
        <w:t>个科室，另设机关党委。归口管理市工业企业改制服务办公室、市无线电</w:t>
      </w:r>
      <w:r>
        <w:rPr>
          <w:rFonts w:hint="eastAsia" w:ascii="仿宋_GB2312" w:hAnsi="仿宋_GB2312" w:eastAsia="仿宋_GB2312" w:cs="仿宋_GB2312"/>
          <w:bCs/>
          <w:kern w:val="0"/>
          <w:sz w:val="32"/>
          <w:szCs w:val="32"/>
          <w:lang w:val="en-US" w:eastAsia="zh-CN"/>
        </w:rPr>
        <w:t>监测站</w:t>
      </w:r>
      <w:r>
        <w:rPr>
          <w:rFonts w:hint="eastAsia" w:ascii="仿宋_GB2312" w:hAnsi="仿宋_GB2312" w:eastAsia="仿宋_GB2312" w:cs="仿宋_GB2312"/>
          <w:bCs/>
          <w:kern w:val="0"/>
          <w:sz w:val="32"/>
          <w:szCs w:val="32"/>
        </w:rPr>
        <w:t>、市民营经济发展服务中心等单位</w:t>
      </w:r>
      <w:r>
        <w:rPr>
          <w:rFonts w:hint="eastAsia" w:ascii="仿宋_GB2312" w:hAnsi="仿宋_GB2312" w:eastAsia="仿宋_GB2312" w:cs="仿宋_GB2312"/>
          <w:bCs/>
          <w:kern w:val="0"/>
          <w:sz w:val="32"/>
          <w:szCs w:val="32"/>
          <w:lang w:eastAsia="zh-CN"/>
        </w:rPr>
        <w:t>（含原煤炭物</w:t>
      </w:r>
      <w:r>
        <w:rPr>
          <w:rFonts w:hint="eastAsia" w:ascii="仿宋_GB2312" w:hAnsi="仿宋_GB2312" w:eastAsia="仿宋_GB2312" w:cs="仿宋_GB2312"/>
          <w:bCs/>
          <w:kern w:val="0"/>
          <w:sz w:val="32"/>
          <w:szCs w:val="32"/>
          <w:lang w:val="en-US" w:eastAsia="zh-CN"/>
        </w:rPr>
        <w:t>资</w:t>
      </w:r>
      <w:r>
        <w:rPr>
          <w:rFonts w:hint="eastAsia" w:ascii="仿宋_GB2312" w:hAnsi="仿宋_GB2312" w:eastAsia="仿宋_GB2312" w:cs="仿宋_GB2312"/>
          <w:bCs/>
          <w:kern w:val="0"/>
          <w:sz w:val="32"/>
          <w:szCs w:val="32"/>
          <w:lang w:eastAsia="zh-CN"/>
        </w:rPr>
        <w:t>供应站）</w:t>
      </w:r>
      <w:r>
        <w:rPr>
          <w:rFonts w:hint="eastAsia" w:ascii="仿宋_GB2312" w:hAnsi="仿宋_GB2312" w:eastAsia="仿宋_GB2312" w:cs="仿宋_GB2312"/>
          <w:bCs/>
          <w:kern w:val="0"/>
          <w:sz w:val="32"/>
          <w:szCs w:val="32"/>
        </w:rPr>
        <w:t>。</w:t>
      </w:r>
    </w:p>
    <w:p w14:paraId="4F3029C1">
      <w:pPr>
        <w:widowControl/>
        <w:spacing w:line="600" w:lineRule="exact"/>
        <w:ind w:firstLine="640" w:firstLineChars="200"/>
        <w:rPr>
          <w:rFonts w:hint="eastAsia" w:ascii="仿宋_GB2312" w:hAnsi="仿宋_GB2312" w:eastAsia="仿宋_GB2312" w:cs="仿宋_GB2312"/>
          <w:sz w:val="72"/>
          <w:szCs w:val="72"/>
        </w:rPr>
      </w:pPr>
      <w:r>
        <w:rPr>
          <w:rFonts w:hint="eastAsia" w:ascii="Times New Roman" w:hAnsi="Times New Roman" w:eastAsia="仿宋_GB2312" w:cs="仿宋_GB2312"/>
          <w:bCs/>
          <w:kern w:val="0"/>
          <w:sz w:val="32"/>
          <w:szCs w:val="32"/>
        </w:rPr>
        <w:t>（二）决算单位构成。</w:t>
      </w:r>
      <w:r>
        <w:rPr>
          <w:rFonts w:hint="eastAsia" w:ascii="仿宋_GB2312" w:hAnsi="仿宋_GB2312" w:eastAsia="仿宋_GB2312" w:cs="仿宋_GB2312"/>
          <w:bCs/>
          <w:kern w:val="0"/>
          <w:sz w:val="32"/>
          <w:szCs w:val="32"/>
        </w:rPr>
        <w:t>市工信局</w:t>
      </w:r>
      <w:r>
        <w:rPr>
          <w:rFonts w:hint="eastAsia" w:ascii="仿宋_GB2312" w:hAnsi="仿宋_GB2312" w:eastAsia="仿宋_GB2312" w:cs="仿宋_GB2312"/>
          <w:bCs/>
          <w:kern w:val="0"/>
          <w:sz w:val="32"/>
          <w:szCs w:val="32"/>
          <w:lang w:val="en-US" w:eastAsia="zh-CN"/>
        </w:rPr>
        <w:t>2023</w:t>
      </w:r>
      <w:r>
        <w:rPr>
          <w:rFonts w:hint="eastAsia" w:ascii="仿宋_GB2312" w:hAnsi="仿宋_GB2312" w:eastAsia="仿宋_GB2312" w:cs="仿宋_GB2312"/>
          <w:bCs/>
          <w:kern w:val="0"/>
          <w:sz w:val="32"/>
          <w:szCs w:val="32"/>
        </w:rPr>
        <w:t>年部门决算汇总公开单位构成包括：</w:t>
      </w:r>
      <w:r>
        <w:rPr>
          <w:rFonts w:hint="eastAsia" w:ascii="仿宋_GB2312" w:hAnsi="仿宋_GB2312" w:eastAsia="仿宋_GB2312" w:cs="仿宋_GB2312"/>
          <w:bCs/>
          <w:kern w:val="0"/>
          <w:sz w:val="32"/>
          <w:szCs w:val="32"/>
          <w:lang w:eastAsia="zh-CN"/>
        </w:rPr>
        <w:t>永州市工业和信息化</w:t>
      </w:r>
      <w:r>
        <w:rPr>
          <w:rFonts w:hint="eastAsia" w:ascii="仿宋_GB2312" w:hAnsi="仿宋_GB2312" w:eastAsia="仿宋_GB2312" w:cs="仿宋_GB2312"/>
          <w:bCs/>
          <w:kern w:val="0"/>
          <w:sz w:val="32"/>
          <w:szCs w:val="32"/>
        </w:rPr>
        <w:t>局单位本级以及归口管理的市民营经济发展服务中心</w:t>
      </w:r>
      <w:r>
        <w:rPr>
          <w:rFonts w:hint="eastAsia" w:ascii="仿宋_GB2312" w:hAnsi="仿宋_GB2312" w:eastAsia="仿宋_GB2312" w:cs="仿宋_GB2312"/>
          <w:bCs/>
          <w:kern w:val="0"/>
          <w:sz w:val="32"/>
          <w:szCs w:val="32"/>
          <w:lang w:eastAsia="zh-CN"/>
        </w:rPr>
        <w:t>（含原煤炭物</w:t>
      </w:r>
      <w:r>
        <w:rPr>
          <w:rFonts w:hint="eastAsia" w:ascii="仿宋_GB2312" w:hAnsi="仿宋_GB2312" w:eastAsia="仿宋_GB2312" w:cs="仿宋_GB2312"/>
          <w:bCs/>
          <w:kern w:val="0"/>
          <w:sz w:val="32"/>
          <w:szCs w:val="32"/>
          <w:lang w:val="en-US" w:eastAsia="zh-CN"/>
        </w:rPr>
        <w:t>资</w:t>
      </w:r>
      <w:r>
        <w:rPr>
          <w:rFonts w:hint="eastAsia" w:ascii="仿宋_GB2312" w:hAnsi="仿宋_GB2312" w:eastAsia="仿宋_GB2312" w:cs="仿宋_GB2312"/>
          <w:bCs/>
          <w:kern w:val="0"/>
          <w:sz w:val="32"/>
          <w:szCs w:val="32"/>
          <w:lang w:eastAsia="zh-CN"/>
        </w:rPr>
        <w:t>供应站）、</w:t>
      </w:r>
      <w:r>
        <w:rPr>
          <w:rFonts w:hint="eastAsia" w:ascii="仿宋_GB2312" w:hAnsi="仿宋_GB2312" w:eastAsia="仿宋_GB2312" w:cs="仿宋_GB2312"/>
          <w:bCs/>
          <w:kern w:val="0"/>
          <w:sz w:val="32"/>
          <w:szCs w:val="32"/>
          <w:lang w:val="en-US" w:eastAsia="zh-CN"/>
        </w:rPr>
        <w:t>市无线电监测站</w:t>
      </w:r>
      <w:r>
        <w:rPr>
          <w:rFonts w:hint="eastAsia" w:ascii="仿宋_GB2312" w:hAnsi="仿宋_GB2312" w:eastAsia="仿宋_GB2312" w:cs="仿宋_GB2312"/>
          <w:bCs/>
          <w:kern w:val="0"/>
          <w:sz w:val="32"/>
          <w:szCs w:val="32"/>
          <w:lang w:eastAsia="zh-CN"/>
        </w:rPr>
        <w:t>。</w:t>
      </w:r>
    </w:p>
    <w:p w14:paraId="2BA0606C">
      <w:pPr>
        <w:widowControl/>
        <w:spacing w:line="600" w:lineRule="exact"/>
        <w:ind w:firstLine="640" w:firstLineChars="200"/>
        <w:rPr>
          <w:rFonts w:hint="eastAsia" w:ascii="Times New Roman" w:hAnsi="Times New Roman" w:eastAsia="仿宋_GB2312" w:cs="仿宋_GB2312"/>
          <w:bCs/>
          <w:kern w:val="0"/>
          <w:sz w:val="32"/>
          <w:szCs w:val="32"/>
        </w:rPr>
      </w:pPr>
    </w:p>
    <w:p w14:paraId="7D5CDC9A">
      <w:pPr>
        <w:jc w:val="left"/>
        <w:rPr>
          <w:rFonts w:ascii="仿宋_GB2312" w:eastAsia="仿宋_GB2312" w:hAnsiTheme="minorEastAsia"/>
          <w:sz w:val="28"/>
          <w:szCs w:val="32"/>
        </w:rPr>
      </w:pPr>
    </w:p>
    <w:p w14:paraId="661D273F">
      <w:pPr>
        <w:jc w:val="both"/>
        <w:rPr>
          <w:rFonts w:ascii="黑体" w:hAnsi="黑体" w:eastAsia="黑体"/>
          <w:sz w:val="28"/>
          <w:szCs w:val="28"/>
        </w:rPr>
      </w:pPr>
    </w:p>
    <w:p w14:paraId="2161AE5B">
      <w:pPr>
        <w:jc w:val="both"/>
        <w:rPr>
          <w:sz w:val="72"/>
          <w:szCs w:val="72"/>
        </w:rPr>
      </w:pPr>
    </w:p>
    <w:p w14:paraId="5E5F78B0">
      <w:pPr>
        <w:pStyle w:val="14"/>
        <w:jc w:val="center"/>
        <w:rPr>
          <w:rFonts w:hint="eastAsia" w:ascii="方正小标宋_GBK" w:hAnsi="方正小标宋_GBK" w:eastAsia="方正小标宋_GBK" w:cs="方正小标宋_GBK"/>
          <w:sz w:val="84"/>
          <w:szCs w:val="84"/>
        </w:rPr>
      </w:pPr>
    </w:p>
    <w:p w14:paraId="33C57311">
      <w:pPr>
        <w:pStyle w:val="14"/>
        <w:jc w:val="center"/>
        <w:rPr>
          <w:rFonts w:hint="eastAsia" w:ascii="方正小标宋_GBK" w:hAnsi="方正小标宋_GBK" w:eastAsia="方正小标宋_GBK" w:cs="方正小标宋_GBK"/>
          <w:sz w:val="84"/>
          <w:szCs w:val="84"/>
        </w:rPr>
      </w:pPr>
    </w:p>
    <w:p w14:paraId="6E5C3CD1">
      <w:pPr>
        <w:pStyle w:val="14"/>
        <w:jc w:val="center"/>
        <w:rPr>
          <w:rFonts w:hint="eastAsia" w:ascii="方正小标宋_GBK" w:hAnsi="方正小标宋_GBK" w:eastAsia="方正小标宋_GBK" w:cs="方正小标宋_GBK"/>
          <w:sz w:val="84"/>
          <w:szCs w:val="84"/>
        </w:rPr>
      </w:pPr>
    </w:p>
    <w:p w14:paraId="19A98F11">
      <w:pPr>
        <w:pStyle w:val="14"/>
        <w:jc w:val="center"/>
        <w:rPr>
          <w:rFonts w:hint="eastAsia" w:ascii="方正小标宋_GBK" w:hAnsi="方正小标宋_GBK" w:eastAsia="方正小标宋_GBK" w:cs="方正小标宋_GBK"/>
          <w:sz w:val="84"/>
          <w:szCs w:val="84"/>
        </w:rPr>
      </w:pPr>
    </w:p>
    <w:p w14:paraId="42AEAD70">
      <w:pPr>
        <w:pStyle w:val="14"/>
        <w:jc w:val="center"/>
        <w:rPr>
          <w:rFonts w:hint="eastAsia" w:ascii="方正小标宋_GBK" w:hAnsi="方正小标宋_GBK" w:eastAsia="方正小标宋_GBK" w:cs="方正小标宋_GBK"/>
          <w:sz w:val="84"/>
          <w:szCs w:val="84"/>
        </w:rPr>
      </w:pPr>
    </w:p>
    <w:p w14:paraId="3BBB7498">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20CE549F">
      <w:pPr>
        <w:pStyle w:val="14"/>
        <w:jc w:val="center"/>
        <w:rPr>
          <w:rFonts w:hint="eastAsia" w:ascii="方正小标宋_GBK" w:hAnsi="方正小标宋_GBK" w:eastAsia="方正小标宋_GBK" w:cs="方正小标宋_GBK"/>
          <w:sz w:val="84"/>
          <w:szCs w:val="84"/>
        </w:rPr>
      </w:pPr>
    </w:p>
    <w:p w14:paraId="1BCE166B">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6F445B29">
      <w:pPr>
        <w:jc w:val="center"/>
        <w:rPr>
          <w:sz w:val="72"/>
          <w:szCs w:val="72"/>
        </w:rPr>
      </w:pPr>
    </w:p>
    <w:p w14:paraId="467D4C65">
      <w:pPr>
        <w:jc w:val="center"/>
        <w:rPr>
          <w:rFonts w:hint="eastAsia" w:eastAsiaTheme="minorEastAsia"/>
          <w:sz w:val="72"/>
          <w:szCs w:val="72"/>
          <w:lang w:val="en-US" w:eastAsia="zh-CN"/>
        </w:rPr>
      </w:pPr>
      <w:r>
        <w:rPr>
          <w:rFonts w:hint="eastAsia"/>
          <w:sz w:val="72"/>
          <w:szCs w:val="72"/>
          <w:lang w:val="en-US" w:eastAsia="zh-CN"/>
        </w:rPr>
        <w:t>见附件</w:t>
      </w:r>
    </w:p>
    <w:p w14:paraId="4F697FCD">
      <w:pPr>
        <w:jc w:val="center"/>
        <w:rPr>
          <w:sz w:val="72"/>
          <w:szCs w:val="72"/>
        </w:rPr>
      </w:pPr>
    </w:p>
    <w:p w14:paraId="78D96A3B">
      <w:pPr>
        <w:pStyle w:val="14"/>
        <w:rPr>
          <w:sz w:val="72"/>
          <w:szCs w:val="72"/>
        </w:rPr>
      </w:pPr>
    </w:p>
    <w:p w14:paraId="5FADE239">
      <w:pPr>
        <w:pStyle w:val="14"/>
        <w:rPr>
          <w:sz w:val="72"/>
          <w:szCs w:val="72"/>
        </w:rPr>
      </w:pPr>
    </w:p>
    <w:p w14:paraId="076A4A1C">
      <w:pPr>
        <w:pStyle w:val="14"/>
        <w:rPr>
          <w:sz w:val="72"/>
          <w:szCs w:val="72"/>
        </w:rPr>
      </w:pPr>
    </w:p>
    <w:p w14:paraId="79145A28">
      <w:pPr>
        <w:pStyle w:val="14"/>
        <w:jc w:val="center"/>
        <w:rPr>
          <w:sz w:val="72"/>
          <w:szCs w:val="72"/>
        </w:rPr>
      </w:pPr>
    </w:p>
    <w:p w14:paraId="466A5696">
      <w:pPr>
        <w:pStyle w:val="14"/>
        <w:jc w:val="center"/>
        <w:rPr>
          <w:rFonts w:hint="eastAsia" w:ascii="方正小标宋_GBK" w:hAnsi="方正小标宋_GBK" w:eastAsia="方正小标宋_GBK" w:cs="方正小标宋_GBK"/>
          <w:sz w:val="72"/>
          <w:szCs w:val="72"/>
        </w:rPr>
      </w:pPr>
    </w:p>
    <w:p w14:paraId="20A27569">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04D74DDF">
      <w:pPr>
        <w:pStyle w:val="14"/>
        <w:jc w:val="both"/>
        <w:rPr>
          <w:rFonts w:hint="eastAsia" w:ascii="方正小标宋_GBK" w:hAnsi="方正小标宋_GBK" w:eastAsia="方正小标宋_GBK" w:cs="方正小标宋_GBK"/>
          <w:sz w:val="70"/>
          <w:szCs w:val="70"/>
        </w:rPr>
      </w:pPr>
    </w:p>
    <w:p w14:paraId="58D53DA9">
      <w:pPr>
        <w:pStyle w:val="14"/>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w:t>
      </w:r>
    </w:p>
    <w:p w14:paraId="1EA8A339">
      <w:pPr>
        <w:pStyle w:val="14"/>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说明</w:t>
      </w:r>
    </w:p>
    <w:p w14:paraId="3D8B02D6">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4658D4D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2D91607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3508.85</w:t>
      </w:r>
      <w:r>
        <w:rPr>
          <w:rFonts w:hint="eastAsia" w:ascii="Times New Roman" w:hAnsi="Times New Roman" w:eastAsia="仿宋_GB2312"/>
          <w:sz w:val="32"/>
          <w:szCs w:val="32"/>
        </w:rPr>
        <w:t>万元。与上年</w:t>
      </w:r>
      <w:bookmarkStart w:id="0" w:name="_GoBack"/>
      <w:bookmarkEnd w:id="0"/>
      <w:r>
        <w:rPr>
          <w:rFonts w:hint="eastAsia" w:ascii="Times New Roman" w:hAnsi="Times New Roman" w:eastAsia="仿宋_GB2312"/>
          <w:sz w:val="32"/>
          <w:szCs w:val="32"/>
        </w:rPr>
        <w:t>相比，增加</w:t>
      </w:r>
      <w:r>
        <w:rPr>
          <w:rFonts w:hint="eastAsia" w:ascii="Times New Roman" w:hAnsi="Times New Roman" w:eastAsia="仿宋_GB2312"/>
          <w:sz w:val="32"/>
          <w:szCs w:val="32"/>
          <w:lang w:val="en-US" w:eastAsia="zh-CN"/>
        </w:rPr>
        <w:t>1455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120.75</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2023年度专精特新“小巨人”企业奖励资金、新增规模工业企业奖励资金、无线电管理经费等专项经费</w:t>
      </w:r>
      <w:r>
        <w:rPr>
          <w:rFonts w:hint="eastAsia" w:ascii="Times New Roman" w:hAnsi="Times New Roman" w:eastAsia="仿宋_GB2312"/>
          <w:sz w:val="32"/>
          <w:szCs w:val="32"/>
        </w:rPr>
        <w:t>收、支</w:t>
      </w:r>
      <w:r>
        <w:rPr>
          <w:rFonts w:hint="eastAsia" w:ascii="Times New Roman" w:hAnsi="Times New Roman" w:eastAsia="仿宋_GB2312"/>
          <w:sz w:val="32"/>
          <w:szCs w:val="32"/>
          <w:lang w:val="en-US" w:eastAsia="zh-CN"/>
        </w:rPr>
        <w:t>增加。</w:t>
      </w:r>
    </w:p>
    <w:p w14:paraId="35BDE4D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6E4A9B4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2659.91</w:t>
      </w:r>
      <w:r>
        <w:rPr>
          <w:rFonts w:hint="eastAsia" w:ascii="Times New Roman" w:hAnsi="Times New Roman" w:eastAsia="仿宋_GB2312"/>
          <w:sz w:val="32"/>
          <w:szCs w:val="32"/>
        </w:rPr>
        <w:t>元，其中：财政拨款收入</w:t>
      </w:r>
      <w:r>
        <w:rPr>
          <w:rFonts w:hint="eastAsia" w:ascii="Times New Roman" w:hAnsi="Times New Roman" w:eastAsia="仿宋_GB2312"/>
          <w:sz w:val="32"/>
          <w:szCs w:val="32"/>
          <w:lang w:val="en-US" w:eastAsia="zh-CN"/>
        </w:rPr>
        <w:t>2602.28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97.83</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57.63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2.17</w:t>
      </w:r>
      <w:r>
        <w:rPr>
          <w:rFonts w:hint="eastAsia" w:ascii="Times New Roman" w:hAnsi="Times New Roman" w:eastAsia="仿宋_GB2312"/>
          <w:sz w:val="32"/>
          <w:szCs w:val="32"/>
        </w:rPr>
        <w:t>%。</w:t>
      </w:r>
    </w:p>
    <w:p w14:paraId="46E0CB8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544FD0F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2659.91</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1394.73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52.44</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1265.18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47.56</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4BE5FAD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19BDE6CE">
      <w:pPr>
        <w:pStyle w:val="14"/>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2602.28</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1415.26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119.23</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2023年度专精特新“小巨人”企业奖励资金、新增规模工业企业奖励资金、无线电管理经费等专项经费</w:t>
      </w:r>
      <w:r>
        <w:rPr>
          <w:rFonts w:hint="eastAsia" w:ascii="Times New Roman" w:hAnsi="Times New Roman" w:eastAsia="仿宋_GB2312"/>
          <w:sz w:val="32"/>
          <w:szCs w:val="32"/>
        </w:rPr>
        <w:t>收、支</w:t>
      </w:r>
      <w:r>
        <w:rPr>
          <w:rFonts w:hint="eastAsia" w:ascii="Times New Roman" w:hAnsi="Times New Roman" w:eastAsia="仿宋_GB2312"/>
          <w:sz w:val="32"/>
          <w:szCs w:val="32"/>
          <w:lang w:val="en-US" w:eastAsia="zh-CN"/>
        </w:rPr>
        <w:t>增加。</w:t>
      </w:r>
    </w:p>
    <w:p w14:paraId="07FBE59F">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218471C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53E4F6D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2602.28</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97.83</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1415.26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119.23</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2023年度专精特新“小巨人”企业奖励资金、新增规模工业企业奖励资金、无线电管理经费等专项支出增加。</w:t>
      </w:r>
    </w:p>
    <w:p w14:paraId="369E8632">
      <w:pPr>
        <w:pStyle w:val="14"/>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677EB6D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2602.28</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3.02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0.12</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科学技术</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3.5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0.13</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社会保障和就业（类）支出313.69万元，占12.05%；卫生健康（类）支出45.6万元，占1.75%；资源勘探工业信息等（类）支出2152.96万元，占82.73%；住房保障（类）支出83.51万元，占3.21%。</w:t>
      </w:r>
    </w:p>
    <w:p w14:paraId="4A72B926">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3E82932D">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1104.34</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2602.28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235.64</w:t>
      </w:r>
      <w:r>
        <w:rPr>
          <w:rFonts w:hint="eastAsia" w:ascii="Times New Roman" w:hAnsi="Times New Roman" w:eastAsia="仿宋_GB2312"/>
          <w:sz w:val="32"/>
          <w:szCs w:val="32"/>
        </w:rPr>
        <w:t>%，其中：</w:t>
      </w:r>
    </w:p>
    <w:p w14:paraId="51FF59B6">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1、一般公共服务（类）其他一般公共服务（款）其他一般公共服务（项）。</w:t>
      </w:r>
    </w:p>
    <w:p w14:paraId="6BB605E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3.02</w:t>
      </w:r>
      <w:r>
        <w:rPr>
          <w:rFonts w:hint="eastAsia" w:ascii="Times New Roman" w:hAnsi="Times New Roman" w:eastAsia="仿宋_GB2312"/>
          <w:sz w:val="32"/>
          <w:szCs w:val="32"/>
        </w:rPr>
        <w:t>万元，</w:t>
      </w:r>
      <w:r>
        <w:rPr>
          <w:rFonts w:hint="eastAsia" w:ascii="仿宋_GB2312" w:hAnsi="仿宋_GB2312" w:eastAsia="仿宋_GB2312" w:cs="仿宋_GB2312"/>
          <w:sz w:val="32"/>
          <w:szCs w:val="32"/>
          <w:lang w:val="en-US" w:eastAsia="zh-CN"/>
        </w:rPr>
        <w:t>因年初无预算，故无法计算完成预算比例</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该支出系年中预算执行追加的会议费。</w:t>
      </w:r>
    </w:p>
    <w:p w14:paraId="707AECB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2、一般公共服务（类）其他科学技术（款）其他科学技术（项）。</w:t>
      </w:r>
    </w:p>
    <w:p w14:paraId="04AA6D9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3.5</w:t>
      </w:r>
      <w:r>
        <w:rPr>
          <w:rFonts w:hint="eastAsia" w:ascii="Times New Roman" w:hAnsi="Times New Roman" w:eastAsia="仿宋_GB2312"/>
          <w:sz w:val="32"/>
          <w:szCs w:val="32"/>
        </w:rPr>
        <w:t>万元，</w:t>
      </w:r>
      <w:r>
        <w:rPr>
          <w:rFonts w:hint="eastAsia" w:ascii="仿宋_GB2312" w:hAnsi="仿宋_GB2312" w:eastAsia="仿宋_GB2312" w:cs="仿宋_GB2312"/>
          <w:sz w:val="32"/>
          <w:szCs w:val="32"/>
          <w:lang w:val="en-US" w:eastAsia="zh-CN"/>
        </w:rPr>
        <w:t>因年初无预算，故无法计算完成预算比例</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该支出系年中预算执行追加的全市优秀企业家慰问资金。</w:t>
      </w:r>
    </w:p>
    <w:p w14:paraId="7D3A92AC">
      <w:pPr>
        <w:pStyle w:val="14"/>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社会保障和就业（类）抚恤（款）死亡抚恤（项）。</w:t>
      </w:r>
    </w:p>
    <w:p w14:paraId="23B870E1">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52.25</w:t>
      </w:r>
      <w:r>
        <w:rPr>
          <w:rFonts w:hint="eastAsia" w:ascii="Times New Roman" w:hAnsi="Times New Roman" w:eastAsia="仿宋_GB2312"/>
          <w:sz w:val="32"/>
          <w:szCs w:val="32"/>
        </w:rPr>
        <w:t>万元，</w:t>
      </w:r>
      <w:r>
        <w:rPr>
          <w:rFonts w:hint="eastAsia" w:ascii="仿宋_GB2312" w:hAnsi="仿宋_GB2312" w:eastAsia="仿宋_GB2312" w:cs="仿宋_GB2312"/>
          <w:sz w:val="32"/>
          <w:szCs w:val="32"/>
          <w:lang w:val="en-US" w:eastAsia="zh-CN"/>
        </w:rPr>
        <w:t>因年初无预算，故无法计算完成预算比例</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该支出系死亡抚恤，属不可预见性支出，年初未纳入部门预算。</w:t>
      </w:r>
    </w:p>
    <w:p w14:paraId="08EEACCB">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社会保障和就业（类）行政事业单位养老（款）其他行政事业单位养老（项）。</w:t>
      </w:r>
    </w:p>
    <w:p w14:paraId="462803FA">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100.78万元，</w:t>
      </w:r>
      <w:r>
        <w:rPr>
          <w:rFonts w:hint="eastAsia" w:ascii="仿宋_GB2312" w:hAnsi="仿宋_GB2312" w:eastAsia="仿宋_GB2312" w:cs="仿宋_GB2312"/>
          <w:sz w:val="32"/>
          <w:szCs w:val="32"/>
          <w:lang w:val="en-US" w:eastAsia="zh-CN"/>
        </w:rPr>
        <w:t>因年初无预算，故无法计算完成预算比例</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该支出系退休人员生活补贴，纳入全市大预算，年初未纳入部门预算。</w:t>
      </w:r>
    </w:p>
    <w:p w14:paraId="3129EEA3">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社会保障和就业（类）行政事业单位养老（款）机关事业单位基本养老保险缴费（项）。</w:t>
      </w:r>
    </w:p>
    <w:p w14:paraId="75E5DC0B">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75.99</w:t>
      </w:r>
      <w:r>
        <w:rPr>
          <w:rFonts w:hint="eastAsia" w:ascii="Times New Roman" w:hAnsi="Times New Roman" w:eastAsia="仿宋_GB2312"/>
          <w:sz w:val="32"/>
          <w:szCs w:val="32"/>
        </w:rPr>
        <w:t>万元万元，支出决算为</w:t>
      </w:r>
      <w:r>
        <w:rPr>
          <w:rFonts w:hint="eastAsia" w:ascii="Times New Roman" w:hAnsi="Times New Roman" w:eastAsia="仿宋_GB2312"/>
          <w:sz w:val="32"/>
          <w:szCs w:val="32"/>
          <w:lang w:val="en-US" w:eastAsia="zh-CN"/>
        </w:rPr>
        <w:t>160.66万元，</w:t>
      </w:r>
      <w:r>
        <w:rPr>
          <w:rFonts w:hint="eastAsia" w:ascii="仿宋_GB2312" w:hAnsi="仿宋_GB2312" w:eastAsia="仿宋_GB2312" w:cs="仿宋_GB2312"/>
          <w:sz w:val="32"/>
          <w:szCs w:val="32"/>
        </w:rPr>
        <w:t>完成年初预算的</w:t>
      </w:r>
      <w:r>
        <w:rPr>
          <w:rFonts w:hint="eastAsia" w:ascii="仿宋_GB2312" w:hAnsi="仿宋_GB2312" w:eastAsia="仿宋_GB2312" w:cs="仿宋_GB2312"/>
          <w:sz w:val="32"/>
          <w:szCs w:val="32"/>
          <w:lang w:val="en-US" w:eastAsia="zh-CN"/>
        </w:rPr>
        <w:t>211.42</w:t>
      </w:r>
      <w:r>
        <w:rPr>
          <w:rFonts w:hint="eastAsia" w:ascii="仿宋_GB2312" w:hAnsi="仿宋_GB2312" w:eastAsia="仿宋_GB2312" w:cs="仿宋_GB2312"/>
          <w:sz w:val="32"/>
          <w:szCs w:val="32"/>
        </w:rPr>
        <w:t>%，</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政策变更，养老保险缴费基数变更，养老保险缴费支出增加。</w:t>
      </w:r>
    </w:p>
    <w:p w14:paraId="13A35E0F">
      <w:pPr>
        <w:pStyle w:val="14"/>
        <w:keepNext w:val="0"/>
        <w:keepLines w:val="0"/>
        <w:pageBreakBefore w:val="0"/>
        <w:widowControl w:val="0"/>
        <w:numPr>
          <w:ilvl w:val="0"/>
          <w:numId w:val="2"/>
        </w:numPr>
        <w:kinsoku/>
        <w:wordWrap/>
        <w:overflowPunct/>
        <w:topLinePunct w:val="0"/>
        <w:autoSpaceDE w:val="0"/>
        <w:autoSpaceDN w:val="0"/>
        <w:bidi w:val="0"/>
        <w:snapToGrid/>
        <w:spacing w:line="520" w:lineRule="exact"/>
        <w:ind w:left="0" w:leftChars="0"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卫生健康（类）行政事业单位医疗（款） 公务员医疗补助（项）。</w:t>
      </w:r>
    </w:p>
    <w:p w14:paraId="48F8AC2B">
      <w:pPr>
        <w:pStyle w:val="14"/>
        <w:keepNext w:val="0"/>
        <w:keepLines w:val="0"/>
        <w:pageBreakBefore w:val="0"/>
        <w:widowControl w:val="0"/>
        <w:numPr>
          <w:ilvl w:val="0"/>
          <w:numId w:val="0"/>
        </w:numPr>
        <w:kinsoku/>
        <w:wordWrap/>
        <w:overflowPunct/>
        <w:topLinePunct w:val="0"/>
        <w:autoSpaceDE w:val="0"/>
        <w:autoSpaceDN w:val="0"/>
        <w:bidi w:val="0"/>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3.71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因年初无预算，故无法计算完成预算比例，</w:t>
      </w:r>
      <w:r>
        <w:rPr>
          <w:rFonts w:hint="eastAsia" w:ascii="仿宋_GB2312" w:hAnsi="仿宋_GB2312" w:eastAsia="仿宋_GB2312" w:cs="仿宋_GB2312"/>
          <w:sz w:val="32"/>
          <w:szCs w:val="32"/>
        </w:rPr>
        <w:t>决算数</w:t>
      </w:r>
      <w:r>
        <w:rPr>
          <w:rFonts w:hint="eastAsia" w:ascii="仿宋_GB2312" w:hAnsi="仿宋_GB2312" w:eastAsia="仿宋_GB2312" w:cs="仿宋_GB2312"/>
          <w:sz w:val="32"/>
          <w:szCs w:val="32"/>
          <w:lang w:val="en-US" w:eastAsia="zh-CN"/>
        </w:rPr>
        <w:t>大于</w:t>
      </w:r>
      <w:r>
        <w:rPr>
          <w:rFonts w:hint="eastAsia" w:ascii="仿宋_GB2312" w:hAnsi="仿宋_GB2312" w:eastAsia="仿宋_GB2312" w:cs="仿宋_GB2312"/>
          <w:sz w:val="32"/>
          <w:szCs w:val="32"/>
        </w:rPr>
        <w:t>年初预算数</w:t>
      </w:r>
      <w:r>
        <w:rPr>
          <w:rFonts w:hint="eastAsia" w:ascii="仿宋_GB2312" w:hAnsi="仿宋_GB2312" w:eastAsia="仿宋_GB2312" w:cs="仿宋_GB2312"/>
          <w:sz w:val="32"/>
          <w:szCs w:val="32"/>
          <w:lang w:val="en-US" w:eastAsia="zh-CN"/>
        </w:rPr>
        <w:t>的原因主要为：该经费主要为公务员医疗补助，属不可预见性支出，年初未纳入预算。</w:t>
      </w:r>
    </w:p>
    <w:p w14:paraId="420576B4">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卫生健康（类）行政事业单位医疗（款）行政单位医疗（项）。</w:t>
      </w:r>
    </w:p>
    <w:p w14:paraId="31F34E29">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年初预算为41.32万元，支出决算为41.89万元，完成年初预算的101.38%，</w:t>
      </w:r>
      <w:r>
        <w:rPr>
          <w:rFonts w:hint="eastAsia" w:ascii="仿宋_GB2312" w:hAnsi="仿宋_GB2312" w:eastAsia="仿宋_GB2312" w:cs="仿宋_GB2312"/>
          <w:sz w:val="32"/>
          <w:szCs w:val="32"/>
        </w:rPr>
        <w:t>决算数</w:t>
      </w:r>
      <w:r>
        <w:rPr>
          <w:rFonts w:hint="eastAsia" w:ascii="仿宋_GB2312" w:hAnsi="仿宋_GB2312" w:eastAsia="仿宋_GB2312" w:cs="仿宋_GB2312"/>
          <w:sz w:val="32"/>
          <w:szCs w:val="32"/>
          <w:lang w:val="en-US" w:eastAsia="zh-CN"/>
        </w:rPr>
        <w:t>大于</w:t>
      </w:r>
      <w:r>
        <w:rPr>
          <w:rFonts w:hint="eastAsia" w:ascii="仿宋_GB2312" w:hAnsi="仿宋_GB2312" w:eastAsia="仿宋_GB2312" w:cs="仿宋_GB2312"/>
          <w:sz w:val="32"/>
          <w:szCs w:val="32"/>
        </w:rPr>
        <w:t>年初预算数</w:t>
      </w:r>
      <w:r>
        <w:rPr>
          <w:rFonts w:hint="eastAsia" w:ascii="仿宋_GB2312" w:hAnsi="仿宋_GB2312" w:eastAsia="仿宋_GB2312" w:cs="仿宋_GB2312"/>
          <w:sz w:val="32"/>
          <w:szCs w:val="32"/>
          <w:lang w:val="en-US" w:eastAsia="zh-CN"/>
        </w:rPr>
        <w:t>的原因主要为：新调入人员，行政单位医疗保险缴费支出增加。</w:t>
      </w:r>
    </w:p>
    <w:p w14:paraId="6B5758FA">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住房保障（类）住房改革（款）住房公积金（项）。</w:t>
      </w:r>
    </w:p>
    <w:p w14:paraId="487F08AF">
      <w:pPr>
        <w:pStyle w:val="14"/>
        <w:keepNext w:val="0"/>
        <w:keepLines w:val="0"/>
        <w:pageBreakBefore w:val="0"/>
        <w:widowControl w:val="0"/>
        <w:numPr>
          <w:ilvl w:val="0"/>
          <w:numId w:val="0"/>
        </w:numPr>
        <w:kinsoku/>
        <w:wordWrap/>
        <w:overflowPunct/>
        <w:topLinePunct w:val="0"/>
        <w:bidi w:val="0"/>
        <w:snapToGrid/>
        <w:spacing w:line="60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年初预算为83.07万元，支出决算为83.51万元，完成年初预算的100.53%，</w:t>
      </w:r>
      <w:r>
        <w:rPr>
          <w:rFonts w:hint="eastAsia" w:ascii="仿宋_GB2312" w:hAnsi="仿宋_GB2312" w:eastAsia="仿宋_GB2312" w:cs="仿宋_GB2312"/>
          <w:sz w:val="32"/>
          <w:szCs w:val="32"/>
        </w:rPr>
        <w:t>决算数</w:t>
      </w:r>
      <w:r>
        <w:rPr>
          <w:rFonts w:hint="eastAsia" w:ascii="仿宋_GB2312" w:hAnsi="仿宋_GB2312" w:eastAsia="仿宋_GB2312" w:cs="仿宋_GB2312"/>
          <w:sz w:val="32"/>
          <w:szCs w:val="32"/>
          <w:lang w:val="en-US" w:eastAsia="zh-CN"/>
        </w:rPr>
        <w:t>大于</w:t>
      </w:r>
      <w:r>
        <w:rPr>
          <w:rFonts w:hint="eastAsia" w:ascii="仿宋_GB2312" w:hAnsi="仿宋_GB2312" w:eastAsia="仿宋_GB2312" w:cs="仿宋_GB2312"/>
          <w:sz w:val="32"/>
          <w:szCs w:val="32"/>
        </w:rPr>
        <w:t>年初预算数</w:t>
      </w:r>
      <w:r>
        <w:rPr>
          <w:rFonts w:hint="eastAsia" w:ascii="仿宋_GB2312" w:hAnsi="仿宋_GB2312" w:eastAsia="仿宋_GB2312" w:cs="仿宋_GB2312"/>
          <w:sz w:val="32"/>
          <w:szCs w:val="32"/>
          <w:lang w:val="en-US" w:eastAsia="zh-CN"/>
        </w:rPr>
        <w:t>的原因主要为：新调入人员，住房公积金缴费支出增加。</w:t>
      </w:r>
    </w:p>
    <w:p w14:paraId="626DBE6A">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资源勘探工业信息等支出（类）制造业（款）行政运行（项）。</w:t>
      </w:r>
    </w:p>
    <w:p w14:paraId="69B120FA">
      <w:pPr>
        <w:pStyle w:val="14"/>
        <w:keepNext w:val="0"/>
        <w:keepLines w:val="0"/>
        <w:pageBreakBefore w:val="0"/>
        <w:widowControl w:val="0"/>
        <w:numPr>
          <w:ilvl w:val="0"/>
          <w:numId w:val="0"/>
        </w:numPr>
        <w:kinsoku/>
        <w:wordWrap/>
        <w:overflowPunct/>
        <w:topLinePunct w:val="0"/>
        <w:bidi w:val="0"/>
        <w:snapToGrid/>
        <w:spacing w:line="600" w:lineRule="exact"/>
        <w:ind w:firstLine="640"/>
        <w:jc w:val="both"/>
        <w:textAlignment w:val="auto"/>
        <w:rPr>
          <w:rFonts w:hint="eastAsia" w:ascii="Times New Roman" w:hAnsi="Times New Roman" w:eastAsia="仿宋_GB2312"/>
          <w:sz w:val="32"/>
          <w:szCs w:val="32"/>
          <w:lang w:val="en-US" w:eastAsia="zh-CN"/>
        </w:rPr>
      </w:pPr>
      <w:r>
        <w:rPr>
          <w:rFonts w:hint="eastAsia" w:ascii="仿宋_GB2312" w:hAnsi="仿宋_GB2312" w:eastAsia="仿宋_GB2312" w:cs="仿宋_GB2312"/>
          <w:sz w:val="32"/>
          <w:szCs w:val="32"/>
          <w:lang w:val="en-US" w:eastAsia="zh-CN"/>
        </w:rPr>
        <w:t>年初预算为0万元，支出决算为85.48万元，因年初无预算，故无法计算完成预算比例，决算数大于年初预算数的主要原</w:t>
      </w:r>
      <w:r>
        <w:rPr>
          <w:rFonts w:hint="eastAsia" w:ascii="Times New Roman" w:hAnsi="Times New Roman" w:eastAsia="仿宋_GB2312"/>
          <w:sz w:val="32"/>
          <w:szCs w:val="32"/>
        </w:rPr>
        <w:t>因是：</w:t>
      </w:r>
      <w:r>
        <w:rPr>
          <w:rFonts w:hint="eastAsia" w:ascii="Times New Roman" w:hAnsi="Times New Roman" w:eastAsia="仿宋_GB2312"/>
          <w:sz w:val="32"/>
          <w:szCs w:val="32"/>
          <w:lang w:val="en-US" w:eastAsia="zh-CN"/>
        </w:rPr>
        <w:t>该支出系年中预算执行追加的绩效奖。</w:t>
      </w:r>
    </w:p>
    <w:p w14:paraId="36496C1E">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资源勘探工业信息等支出（类）其他资源勘探工业信息等支出（款）其他资源勘探工业信息等支出（项）。</w:t>
      </w:r>
    </w:p>
    <w:p w14:paraId="663F49CC">
      <w:pPr>
        <w:pStyle w:val="14"/>
        <w:keepNext w:val="0"/>
        <w:keepLines w:val="0"/>
        <w:pageBreakBefore w:val="0"/>
        <w:widowControl w:val="0"/>
        <w:kinsoku/>
        <w:wordWrap/>
        <w:overflowPunct/>
        <w:topLinePunct w:val="0"/>
        <w:bidi w:val="0"/>
        <w:snapToGrid/>
        <w:spacing w:line="600" w:lineRule="exact"/>
        <w:ind w:firstLine="640"/>
        <w:textAlignment w:val="auto"/>
        <w:rPr>
          <w:rFonts w:hint="eastAsia" w:ascii="Times New Roman" w:hAnsi="Times New Roman" w:eastAsia="仿宋_GB2312"/>
          <w:sz w:val="32"/>
          <w:szCs w:val="32"/>
          <w:lang w:val="en-US" w:eastAsia="zh-CN"/>
        </w:rPr>
      </w:pPr>
      <w:r>
        <w:rPr>
          <w:rFonts w:hint="eastAsia" w:ascii="仿宋_GB2312" w:hAnsi="仿宋_GB2312" w:eastAsia="仿宋_GB2312" w:cs="仿宋_GB2312"/>
          <w:sz w:val="32"/>
          <w:szCs w:val="32"/>
          <w:lang w:val="en-US" w:eastAsia="zh-CN"/>
        </w:rPr>
        <w:t>年初预算为903.95万元，支出决算为1856.62万元，完成年初预算的205.39%，</w:t>
      </w:r>
      <w:r>
        <w:rPr>
          <w:rFonts w:hint="eastAsia" w:ascii="仿宋_GB2312" w:hAnsi="仿宋_GB2312" w:eastAsia="仿宋_GB2312" w:cs="仿宋_GB2312"/>
          <w:sz w:val="32"/>
          <w:szCs w:val="32"/>
        </w:rPr>
        <w:t>决算数</w:t>
      </w:r>
      <w:r>
        <w:rPr>
          <w:rFonts w:hint="eastAsia" w:ascii="仿宋_GB2312" w:hAnsi="仿宋_GB2312" w:eastAsia="仿宋_GB2312" w:cs="仿宋_GB2312"/>
          <w:sz w:val="32"/>
          <w:szCs w:val="32"/>
          <w:lang w:val="en-US" w:eastAsia="zh-CN"/>
        </w:rPr>
        <w:t>大于</w:t>
      </w:r>
      <w:r>
        <w:rPr>
          <w:rFonts w:hint="eastAsia" w:ascii="仿宋_GB2312" w:hAnsi="仿宋_GB2312" w:eastAsia="仿宋_GB2312" w:cs="仿宋_GB2312"/>
          <w:sz w:val="32"/>
          <w:szCs w:val="32"/>
        </w:rPr>
        <w:t>年初预算数</w:t>
      </w:r>
      <w:r>
        <w:rPr>
          <w:rFonts w:hint="eastAsia" w:ascii="仿宋_GB2312" w:hAnsi="仿宋_GB2312" w:eastAsia="仿宋_GB2312" w:cs="仿宋_GB2312"/>
          <w:sz w:val="32"/>
          <w:szCs w:val="32"/>
          <w:lang w:val="en-US" w:eastAsia="zh-CN"/>
        </w:rPr>
        <w:t>的原因主要为：</w:t>
      </w:r>
      <w:r>
        <w:rPr>
          <w:rFonts w:hint="eastAsia" w:ascii="Times New Roman" w:hAnsi="Times New Roman" w:eastAsia="仿宋_GB2312"/>
          <w:sz w:val="32"/>
          <w:szCs w:val="32"/>
          <w:lang w:val="en-US" w:eastAsia="zh-CN"/>
        </w:rPr>
        <w:t>2023年度年度预算执行追加了专精特新“小巨人”企业奖励资金、新增规模工业企业奖励资金、无线电管理经费等专项支出。</w:t>
      </w:r>
    </w:p>
    <w:p w14:paraId="27E41E13">
      <w:pPr>
        <w:pStyle w:val="14"/>
        <w:keepNext w:val="0"/>
        <w:keepLines w:val="0"/>
        <w:pageBreakBefore w:val="0"/>
        <w:widowControl w:val="0"/>
        <w:numPr>
          <w:ilvl w:val="0"/>
          <w:numId w:val="2"/>
        </w:numPr>
        <w:kinsoku/>
        <w:wordWrap/>
        <w:overflowPunct/>
        <w:topLinePunct w:val="0"/>
        <w:bidi w:val="0"/>
        <w:snapToGrid/>
        <w:spacing w:line="600" w:lineRule="exact"/>
        <w:ind w:left="0" w:leftChars="0" w:firstLine="800" w:firstLineChars="25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资源勘探工业信息等支出（类）制造业（款）其他制造业支出（项）。</w:t>
      </w:r>
    </w:p>
    <w:p w14:paraId="1D2A9904">
      <w:pPr>
        <w:pStyle w:val="14"/>
        <w:keepNext w:val="0"/>
        <w:keepLines w:val="0"/>
        <w:pageBreakBefore w:val="0"/>
        <w:widowControl w:val="0"/>
        <w:numPr>
          <w:ilvl w:val="0"/>
          <w:numId w:val="0"/>
        </w:numPr>
        <w:kinsoku/>
        <w:wordWrap/>
        <w:overflowPunct/>
        <w:topLinePunct w:val="0"/>
        <w:bidi w:val="0"/>
        <w:snapToGrid/>
        <w:spacing w:line="600" w:lineRule="exact"/>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年初预算为0万元，支出决算为210.86万元，因年初无预算，故无法计算完成预算比例，决算数大于年初预算数的主要原</w:t>
      </w:r>
      <w:r>
        <w:rPr>
          <w:rFonts w:hint="eastAsia" w:ascii="Times New Roman" w:hAnsi="Times New Roman" w:eastAsia="仿宋_GB2312"/>
          <w:sz w:val="32"/>
          <w:szCs w:val="32"/>
        </w:rPr>
        <w:t>因是：</w:t>
      </w:r>
      <w:r>
        <w:rPr>
          <w:rFonts w:hint="eastAsia" w:ascii="Times New Roman" w:hAnsi="Times New Roman" w:eastAsia="仿宋_GB2312"/>
          <w:sz w:val="32"/>
          <w:szCs w:val="32"/>
          <w:lang w:val="en-US" w:eastAsia="zh-CN"/>
        </w:rPr>
        <w:t>该支出系上级转移支付资金，年初未纳入部门预算。</w:t>
      </w:r>
    </w:p>
    <w:p w14:paraId="1C4CA180">
      <w:pPr>
        <w:pStyle w:val="14"/>
        <w:keepNext w:val="0"/>
        <w:keepLines w:val="0"/>
        <w:pageBreakBefore w:val="0"/>
        <w:widowControl w:val="0"/>
        <w:numPr>
          <w:ilvl w:val="0"/>
          <w:numId w:val="0"/>
        </w:numPr>
        <w:kinsoku/>
        <w:wordWrap/>
        <w:overflowPunct/>
        <w:topLinePunct w:val="0"/>
        <w:bidi w:val="0"/>
        <w:snapToGrid/>
        <w:spacing w:line="600" w:lineRule="exact"/>
        <w:ind w:firstLine="64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4FDDA1A8">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1394.74</w:t>
      </w:r>
      <w:r>
        <w:rPr>
          <w:rFonts w:hint="eastAsia" w:ascii="Times New Roman" w:hAnsi="Times New Roman" w:eastAsia="仿宋_GB2312"/>
          <w:sz w:val="32"/>
          <w:szCs w:val="32"/>
        </w:rPr>
        <w:t>万元，其中：</w:t>
      </w:r>
    </w:p>
    <w:p w14:paraId="404FDA83">
      <w:pPr>
        <w:pStyle w:val="14"/>
        <w:keepNext w:val="0"/>
        <w:keepLines w:val="0"/>
        <w:pageBreakBefore w:val="0"/>
        <w:widowControl w:val="0"/>
        <w:kinsoku/>
        <w:wordWrap/>
        <w:overflowPunct/>
        <w:topLinePunct w:val="0"/>
        <w:bidi w:val="0"/>
        <w:snapToGrid/>
        <w:spacing w:line="600" w:lineRule="exact"/>
        <w:ind w:firstLine="643"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1245.13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89.27</w:t>
      </w:r>
      <w:r>
        <w:rPr>
          <w:rFonts w:hint="eastAsia" w:ascii="Times New Roman" w:hAnsi="Times New Roman" w:eastAsia="仿宋_GB2312"/>
          <w:sz w:val="32"/>
          <w:szCs w:val="32"/>
        </w:rPr>
        <w:t>%,主要包括基本工资、津贴补贴、奖金、</w:t>
      </w:r>
      <w:r>
        <w:rPr>
          <w:rFonts w:hint="eastAsia" w:ascii="Times New Roman" w:hAnsi="Times New Roman" w:eastAsia="仿宋_GB2312"/>
          <w:sz w:val="32"/>
          <w:szCs w:val="32"/>
          <w:lang w:val="en-US" w:eastAsia="zh-CN"/>
        </w:rPr>
        <w:t>绩效工资、</w:t>
      </w:r>
      <w:r>
        <w:rPr>
          <w:rFonts w:hint="eastAsia" w:ascii="Times New Roman" w:hAnsi="Times New Roman" w:eastAsia="仿宋_GB2312"/>
          <w:sz w:val="32"/>
          <w:szCs w:val="32"/>
        </w:rPr>
        <w:t>机关事业单位基本养老保险缴费</w:t>
      </w:r>
      <w:r>
        <w:rPr>
          <w:rFonts w:hint="eastAsia" w:ascii="Times New Roman" w:hAnsi="Times New Roman" w:eastAsia="仿宋_GB2312"/>
          <w:sz w:val="32"/>
          <w:szCs w:val="32"/>
          <w:lang w:eastAsia="zh-CN"/>
        </w:rPr>
        <w:t>、职工基本医疗保险缴费、其他社会保障缴费、住房公积金、医疗费、其他工资福利支出</w:t>
      </w:r>
      <w:r>
        <w:rPr>
          <w:rFonts w:hint="eastAsia" w:ascii="Times New Roman" w:hAnsi="Times New Roman" w:eastAsia="仿宋_GB2312"/>
          <w:sz w:val="32"/>
          <w:szCs w:val="32"/>
          <w:lang w:val="en-US" w:eastAsia="zh-CN"/>
        </w:rPr>
        <w:t>等</w:t>
      </w:r>
      <w:r>
        <w:rPr>
          <w:rFonts w:hint="eastAsia" w:ascii="Times New Roman" w:hAnsi="Times New Roman" w:eastAsia="仿宋_GB2312"/>
          <w:sz w:val="32"/>
          <w:szCs w:val="32"/>
          <w:lang w:eastAsia="zh-CN"/>
        </w:rPr>
        <w:t>。</w:t>
      </w:r>
    </w:p>
    <w:p w14:paraId="397E987C">
      <w:pPr>
        <w:pStyle w:val="14"/>
        <w:keepNext w:val="0"/>
        <w:keepLines w:val="0"/>
        <w:pageBreakBefore w:val="0"/>
        <w:widowControl w:val="0"/>
        <w:kinsoku/>
        <w:wordWrap/>
        <w:overflowPunct/>
        <w:topLinePunct w:val="0"/>
        <w:bidi w:val="0"/>
        <w:snapToGrid/>
        <w:spacing w:line="600" w:lineRule="exact"/>
        <w:ind w:firstLine="643"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149.6</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10.73</w:t>
      </w:r>
      <w:r>
        <w:rPr>
          <w:rFonts w:hint="eastAsia" w:ascii="Times New Roman" w:hAnsi="Times New Roman" w:eastAsia="仿宋_GB2312"/>
          <w:sz w:val="32"/>
          <w:szCs w:val="32"/>
        </w:rPr>
        <w:t>%，主要包括租赁费</w:t>
      </w:r>
      <w:r>
        <w:rPr>
          <w:rFonts w:hint="eastAsia" w:ascii="Times New Roman" w:hAnsi="Times New Roman" w:eastAsia="仿宋_GB2312"/>
          <w:sz w:val="32"/>
          <w:szCs w:val="32"/>
          <w:lang w:eastAsia="zh-CN"/>
        </w:rPr>
        <w:t>、公务接待费、劳务费、工会经费、福利费、公务用车运行维护费、其他交通费用、其他商品和服务支出</w:t>
      </w:r>
      <w:r>
        <w:rPr>
          <w:rFonts w:hint="eastAsia" w:ascii="Times New Roman" w:hAnsi="Times New Roman" w:eastAsia="仿宋_GB2312"/>
          <w:sz w:val="32"/>
          <w:szCs w:val="32"/>
          <w:lang w:val="en-US" w:eastAsia="zh-CN"/>
        </w:rPr>
        <w:t>等</w:t>
      </w:r>
      <w:r>
        <w:rPr>
          <w:rFonts w:hint="eastAsia" w:ascii="Times New Roman" w:hAnsi="Times New Roman" w:eastAsia="仿宋_GB2312"/>
          <w:sz w:val="32"/>
          <w:szCs w:val="32"/>
        </w:rPr>
        <w:t>。</w:t>
      </w:r>
    </w:p>
    <w:p w14:paraId="5BD2F49B">
      <w:pPr>
        <w:pStyle w:val="14"/>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114EC974">
      <w:pPr>
        <w:pStyle w:val="14"/>
        <w:keepNext w:val="0"/>
        <w:keepLines w:val="0"/>
        <w:pageBreakBefore w:val="0"/>
        <w:widowControl w:val="0"/>
        <w:numPr>
          <w:ilvl w:val="0"/>
          <w:numId w:val="0"/>
        </w:numPr>
        <w:kinsoku/>
        <w:wordWrap/>
        <w:overflowPunct/>
        <w:topLinePunct w:val="0"/>
        <w:bidi w:val="0"/>
        <w:snapToGrid/>
        <w:spacing w:line="600" w:lineRule="exact"/>
        <w:ind w:firstLine="643"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061A7874">
      <w:pPr>
        <w:pStyle w:val="14"/>
        <w:keepNext w:val="0"/>
        <w:keepLines w:val="0"/>
        <w:pageBreakBefore w:val="0"/>
        <w:widowControl w:val="0"/>
        <w:kinsoku/>
        <w:wordWrap/>
        <w:overflowPunct/>
        <w:topLinePunct w:val="0"/>
        <w:bidi w:val="0"/>
        <w:snapToGrid/>
        <w:spacing w:line="600" w:lineRule="exact"/>
        <w:ind w:firstLine="800" w:firstLineChars="25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9.99</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83.25</w:t>
      </w:r>
      <w:r>
        <w:rPr>
          <w:rFonts w:hint="eastAsia" w:ascii="Times New Roman" w:hAnsi="Times New Roman" w:eastAsia="仿宋_GB2312"/>
          <w:sz w:val="32"/>
          <w:szCs w:val="32"/>
        </w:rPr>
        <w:t>%，决算数小于预算数的主要原因是</w:t>
      </w:r>
      <w:r>
        <w:rPr>
          <w:rFonts w:hint="eastAsia" w:ascii="仿宋_GB2312" w:hAnsi="仿宋_GB2312" w:eastAsia="仿宋_GB2312" w:cs="仿宋_GB2312"/>
          <w:sz w:val="32"/>
          <w:szCs w:val="32"/>
          <w:lang w:val="en-US" w:eastAsia="zh-CN"/>
        </w:rPr>
        <w:t>严格按照标准支出，严控“三公”经费支出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2.79</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38.75%</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机构改革，原湖南省无线电管理委员会办公室永州市管理处、市无线电监测站并入我局预算收支，增加2台特种装备用车，公务用车运行维护费增加</w:t>
      </w:r>
      <w:r>
        <w:rPr>
          <w:rFonts w:hint="eastAsia" w:ascii="Times New Roman" w:hAnsi="Times New Roman" w:eastAsia="仿宋_GB2312"/>
          <w:sz w:val="32"/>
          <w:szCs w:val="32"/>
        </w:rPr>
        <w:t>。其中：</w:t>
      </w:r>
    </w:p>
    <w:p w14:paraId="527EC014">
      <w:pPr>
        <w:pStyle w:val="14"/>
        <w:keepNext w:val="0"/>
        <w:keepLines w:val="0"/>
        <w:pageBreakBefore w:val="0"/>
        <w:widowControl w:val="0"/>
        <w:kinsoku/>
        <w:wordWrap/>
        <w:overflowPunct/>
        <w:topLinePunct w:val="0"/>
        <w:bidi w:val="0"/>
        <w:snapToGrid/>
        <w:spacing w:line="600" w:lineRule="exact"/>
        <w:ind w:firstLine="800" w:firstLineChars="25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年初数及决算数均为0无法计算百分比，年初预算数与决算数持平，主要原因是：我局2023年度未产生</w:t>
      </w:r>
      <w:r>
        <w:rPr>
          <w:rFonts w:hint="eastAsia" w:ascii="Times New Roman" w:hAnsi="Times New Roman" w:eastAsia="仿宋_GB2312"/>
          <w:sz w:val="32"/>
          <w:szCs w:val="32"/>
        </w:rPr>
        <w:t>因公出国（境）费。</w:t>
      </w:r>
    </w:p>
    <w:p w14:paraId="3F3178F7">
      <w:pPr>
        <w:pStyle w:val="14"/>
        <w:keepNext w:val="0"/>
        <w:keepLines w:val="0"/>
        <w:pageBreakBefore w:val="0"/>
        <w:widowControl w:val="0"/>
        <w:kinsoku/>
        <w:wordWrap/>
        <w:overflowPunct/>
        <w:topLinePunct w:val="0"/>
        <w:bidi w:val="0"/>
        <w:snapToGrid/>
        <w:spacing w:line="600" w:lineRule="exact"/>
        <w:ind w:firstLine="800" w:firstLineChars="25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3.99</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66.5</w:t>
      </w:r>
      <w:r>
        <w:rPr>
          <w:rFonts w:hint="eastAsia" w:ascii="Times New Roman" w:hAnsi="Times New Roman" w:eastAsia="仿宋_GB2312"/>
          <w:sz w:val="32"/>
          <w:szCs w:val="32"/>
        </w:rPr>
        <w:t>%，决算数小于预算数的主要原因是</w:t>
      </w:r>
      <w:r>
        <w:rPr>
          <w:rFonts w:hint="eastAsia" w:ascii="Times New Roman" w:hAnsi="Times New Roman" w:eastAsia="仿宋_GB2312"/>
          <w:sz w:val="32"/>
          <w:szCs w:val="32"/>
          <w:lang w:eastAsia="zh-CN"/>
        </w:rPr>
        <w:t>：</w:t>
      </w:r>
      <w:r>
        <w:rPr>
          <w:rFonts w:hint="eastAsia" w:ascii="仿宋_GB2312" w:hAnsi="仿宋_GB2312" w:eastAsia="仿宋_GB2312" w:cs="仿宋_GB2312"/>
          <w:sz w:val="32"/>
          <w:szCs w:val="32"/>
          <w:lang w:val="en-US" w:eastAsia="zh-CN"/>
        </w:rPr>
        <w:t>严格按照标准级预算安排公务接待，严控“三公”经费支出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3.21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44.58</w:t>
      </w:r>
      <w:r>
        <w:rPr>
          <w:rFonts w:hint="eastAsia" w:ascii="Times New Roman" w:hAnsi="Times New Roman" w:eastAsia="仿宋_GB2312"/>
          <w:sz w:val="32"/>
          <w:szCs w:val="32"/>
        </w:rPr>
        <w:t>%,减少的主要原因是</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严格落实过紧日子要求，严控</w:t>
      </w:r>
      <w:r>
        <w:rPr>
          <w:rFonts w:hint="eastAsia" w:ascii="Times New Roman" w:hAnsi="Times New Roman" w:eastAsia="仿宋_GB2312"/>
          <w:sz w:val="32"/>
          <w:szCs w:val="32"/>
        </w:rPr>
        <w:t>公务接待支出。</w:t>
      </w:r>
    </w:p>
    <w:p w14:paraId="127A2969">
      <w:pPr>
        <w:pStyle w:val="14"/>
        <w:keepNext w:val="0"/>
        <w:keepLines w:val="0"/>
        <w:pageBreakBefore w:val="0"/>
        <w:widowControl w:val="0"/>
        <w:kinsoku/>
        <w:wordWrap/>
        <w:overflowPunct/>
        <w:topLinePunct w:val="0"/>
        <w:bidi w:val="0"/>
        <w:snapToGrid/>
        <w:spacing w:line="600" w:lineRule="exact"/>
        <w:ind w:firstLine="800" w:firstLineChars="25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年初数及决算数均为0无法计算百分比，年初预算数与决算数持平，主要原因是：我局2023年度未产生</w:t>
      </w:r>
      <w:r>
        <w:rPr>
          <w:rFonts w:hint="eastAsia" w:ascii="Times New Roman" w:hAnsi="Times New Roman" w:eastAsia="仿宋_GB2312"/>
          <w:sz w:val="32"/>
          <w:szCs w:val="32"/>
        </w:rPr>
        <w:t>公务用车购置费。</w:t>
      </w:r>
    </w:p>
    <w:p w14:paraId="479562F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与</w:t>
      </w:r>
      <w:r>
        <w:rPr>
          <w:rFonts w:hint="eastAsia" w:ascii="Times New Roman" w:hAnsi="Times New Roman" w:eastAsia="仿宋_GB2312"/>
          <w:sz w:val="32"/>
          <w:szCs w:val="32"/>
        </w:rPr>
        <w:t>预算数</w:t>
      </w:r>
      <w:r>
        <w:rPr>
          <w:rFonts w:hint="eastAsia" w:ascii="Times New Roman" w:hAnsi="Times New Roman" w:eastAsia="仿宋_GB2312"/>
          <w:sz w:val="32"/>
          <w:szCs w:val="32"/>
          <w:lang w:val="en-US" w:eastAsia="zh-CN"/>
        </w:rPr>
        <w:t>持平，</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与</w:t>
      </w:r>
      <w:r>
        <w:rPr>
          <w:rFonts w:hint="eastAsia" w:ascii="Times New Roman" w:hAnsi="Times New Roman" w:eastAsia="仿宋_GB2312"/>
          <w:sz w:val="32"/>
          <w:szCs w:val="32"/>
        </w:rPr>
        <w:t>预算数</w:t>
      </w:r>
      <w:r>
        <w:rPr>
          <w:rFonts w:hint="eastAsia" w:ascii="Times New Roman" w:hAnsi="Times New Roman" w:eastAsia="仿宋_GB2312"/>
          <w:sz w:val="32"/>
          <w:szCs w:val="32"/>
          <w:lang w:val="en-US" w:eastAsia="zh-CN"/>
        </w:rPr>
        <w:t>持平</w:t>
      </w:r>
      <w:r>
        <w:rPr>
          <w:rFonts w:hint="eastAsia" w:ascii="Times New Roman" w:hAnsi="Times New Roman" w:eastAsia="仿宋_GB2312"/>
          <w:sz w:val="32"/>
          <w:szCs w:val="32"/>
        </w:rPr>
        <w:t>的主要原因是</w:t>
      </w:r>
      <w:r>
        <w:rPr>
          <w:rFonts w:hint="eastAsia" w:ascii="Times New Roman" w:hAnsi="Times New Roman" w:eastAsia="仿宋_GB2312"/>
          <w:sz w:val="32"/>
          <w:szCs w:val="32"/>
          <w:lang w:val="en-US" w:eastAsia="zh-CN"/>
        </w:rPr>
        <w:t>严格按照预算执行</w:t>
      </w:r>
      <w:r>
        <w:rPr>
          <w:rFonts w:hint="eastAsia" w:ascii="Times New Roman" w:hAnsi="Times New Roman" w:eastAsia="仿宋_GB2312"/>
          <w:sz w:val="32"/>
          <w:szCs w:val="32"/>
        </w:rPr>
        <w:t>。</w:t>
      </w:r>
    </w:p>
    <w:p w14:paraId="095447FF">
      <w:pPr>
        <w:pStyle w:val="14"/>
        <w:keepNext w:val="0"/>
        <w:keepLines w:val="0"/>
        <w:pageBreakBefore w:val="0"/>
        <w:widowControl w:val="0"/>
        <w:kinsoku/>
        <w:wordWrap/>
        <w:overflowPunct/>
        <w:topLinePunct w:val="0"/>
        <w:bidi w:val="0"/>
        <w:snapToGrid/>
        <w:spacing w:line="600" w:lineRule="exact"/>
        <w:ind w:firstLine="643"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00F33B9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3.99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39.94</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60.06</w:t>
      </w:r>
      <w:r>
        <w:rPr>
          <w:rFonts w:hint="eastAsia" w:ascii="Times New Roman" w:hAnsi="Times New Roman" w:eastAsia="仿宋_GB2312"/>
          <w:sz w:val="32"/>
          <w:szCs w:val="32"/>
        </w:rPr>
        <w:t>%。其中：</w:t>
      </w:r>
    </w:p>
    <w:p w14:paraId="3E81413B">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7742FC0C">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3.99</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36</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299</w:t>
      </w:r>
      <w:r>
        <w:rPr>
          <w:rFonts w:hint="eastAsia" w:ascii="Times New Roman" w:hAnsi="Times New Roman" w:eastAsia="仿宋_GB2312"/>
          <w:sz w:val="32"/>
          <w:szCs w:val="32"/>
        </w:rPr>
        <w:t>人次，主要是</w:t>
      </w:r>
      <w:r>
        <w:rPr>
          <w:rFonts w:hint="eastAsia" w:ascii="仿宋_GB2312" w:hAnsi="仿宋_GB2312" w:eastAsia="仿宋_GB2312" w:cs="仿宋_GB2312"/>
          <w:sz w:val="32"/>
          <w:szCs w:val="32"/>
          <w:lang w:val="en-US" w:eastAsia="zh-CN"/>
        </w:rPr>
        <w:t>上级调研、无线电设备检测、工业经济运行、清欠、园区发展等工作</w:t>
      </w:r>
      <w:r>
        <w:rPr>
          <w:rFonts w:hint="eastAsia" w:ascii="仿宋_GB2312" w:hAnsi="仿宋_GB2312" w:eastAsia="仿宋_GB2312" w:cs="仿宋_GB2312"/>
          <w:sz w:val="32"/>
          <w:szCs w:val="32"/>
          <w:lang w:eastAsia="zh-CN"/>
        </w:rPr>
        <w:t>往来业务单位人员</w:t>
      </w:r>
      <w:r>
        <w:rPr>
          <w:rFonts w:hint="eastAsia" w:ascii="仿宋_GB2312" w:hAnsi="仿宋_GB2312" w:eastAsia="仿宋_GB2312" w:cs="仿宋_GB2312"/>
          <w:sz w:val="32"/>
          <w:szCs w:val="32"/>
        </w:rPr>
        <w:t>发生的接待支出。</w:t>
      </w:r>
    </w:p>
    <w:p w14:paraId="783A7A44">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val="en-US" w:eastAsia="zh-CN"/>
        </w:rPr>
        <w:t>2台无线电业务专用车辆运行维护</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辆。</w:t>
      </w:r>
    </w:p>
    <w:p w14:paraId="19B2778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54868FDA">
      <w:pPr>
        <w:pStyle w:val="14"/>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sz w:val="32"/>
          <w:szCs w:val="32"/>
        </w:rPr>
        <w:t xml:space="preserve">    </w:t>
      </w:r>
      <w:r>
        <w:rPr>
          <w:rFonts w:hint="eastAsia" w:ascii="Times New Roman" w:hAnsi="Times New Roman" w:eastAsia="仿宋_GB2312" w:cstheme="minorBidi"/>
          <w:color w:val="auto"/>
          <w:kern w:val="2"/>
          <w:sz w:val="32"/>
          <w:szCs w:val="32"/>
          <w:lang w:val="en-US" w:eastAsia="zh-CN" w:bidi="ar-SA"/>
        </w:rPr>
        <w:t>本单位无政府性基金收支。</w:t>
      </w:r>
    </w:p>
    <w:p w14:paraId="45210FDD">
      <w:pPr>
        <w:pStyle w:val="14"/>
        <w:keepNext w:val="0"/>
        <w:keepLines w:val="0"/>
        <w:pageBreakBefore w:val="0"/>
        <w:widowControl w:val="0"/>
        <w:kinsoku/>
        <w:wordWrap/>
        <w:overflowPunct/>
        <w:topLinePunct w:val="0"/>
        <w:bidi w:val="0"/>
        <w:snapToGrid/>
        <w:spacing w:line="600" w:lineRule="exact"/>
        <w:ind w:firstLine="643"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67AE998F">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149.6</w:t>
      </w:r>
      <w:r>
        <w:rPr>
          <w:rFonts w:hint="eastAsia" w:ascii="Times New Roman" w:hAnsi="Times New Roman" w:eastAsia="仿宋_GB2312"/>
          <w:sz w:val="32"/>
          <w:szCs w:val="32"/>
        </w:rPr>
        <w:t>万元，比年初预算数减少</w:t>
      </w:r>
      <w:r>
        <w:rPr>
          <w:rFonts w:hint="eastAsia" w:ascii="Times New Roman" w:hAnsi="Times New Roman" w:eastAsia="仿宋_GB2312"/>
          <w:sz w:val="32"/>
          <w:szCs w:val="32"/>
          <w:lang w:val="en-US" w:eastAsia="zh-CN"/>
        </w:rPr>
        <w:t>2.61</w:t>
      </w:r>
      <w:r>
        <w:rPr>
          <w:rFonts w:hint="eastAsia" w:ascii="Times New Roman" w:hAnsi="Times New Roman" w:eastAsia="仿宋_GB2312"/>
          <w:sz w:val="32"/>
          <w:szCs w:val="32"/>
        </w:rPr>
        <w:t>万元，降低</w:t>
      </w:r>
      <w:r>
        <w:rPr>
          <w:rFonts w:hint="eastAsia" w:ascii="Times New Roman" w:hAnsi="Times New Roman" w:eastAsia="仿宋_GB2312"/>
          <w:sz w:val="32"/>
          <w:szCs w:val="32"/>
          <w:lang w:val="en-US" w:eastAsia="zh-CN"/>
        </w:rPr>
        <w:t>1.71</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公务接待费支出较年初预算数减少</w:t>
      </w:r>
      <w:r>
        <w:rPr>
          <w:rFonts w:hint="eastAsia" w:ascii="Times New Roman" w:hAnsi="Times New Roman" w:eastAsia="仿宋_GB2312"/>
          <w:sz w:val="32"/>
          <w:szCs w:val="32"/>
        </w:rPr>
        <w:t>。</w:t>
      </w:r>
    </w:p>
    <w:p w14:paraId="54D3C91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23E0418D">
      <w:pPr>
        <w:pStyle w:val="14"/>
        <w:keepNext w:val="0"/>
        <w:keepLines w:val="0"/>
        <w:pageBreakBefore w:val="0"/>
        <w:widowControl w:val="0"/>
        <w:kinsoku/>
        <w:wordWrap/>
        <w:overflowPunct/>
        <w:topLinePunct w:val="0"/>
        <w:autoSpaceDE w:val="0"/>
        <w:autoSpaceDN w:val="0"/>
        <w:bidi w:val="0"/>
        <w:adjustRightInd/>
        <w:snapToGrid/>
        <w:spacing w:line="54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16.43</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主要用于召开</w:t>
      </w:r>
      <w:r>
        <w:rPr>
          <w:rFonts w:hint="eastAsia" w:ascii="仿宋_GB2312" w:hAnsi="仿宋_GB2312" w:eastAsia="仿宋_GB2312" w:cs="仿宋_GB2312"/>
          <w:sz w:val="32"/>
          <w:szCs w:val="32"/>
          <w:lang w:val="en-US" w:eastAsia="zh-CN"/>
        </w:rPr>
        <w:t>全市“五好”园区大比武暨产业项目现场观摩</w:t>
      </w:r>
      <w:r>
        <w:rPr>
          <w:rFonts w:hint="eastAsia" w:ascii="仿宋_GB2312" w:hAnsi="仿宋_GB2312" w:eastAsia="仿宋_GB2312" w:cs="仿宋_GB2312"/>
          <w:sz w:val="32"/>
          <w:szCs w:val="32"/>
        </w:rPr>
        <w:t>会议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每次</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lang w:val="en-US" w:eastAsia="zh-CN"/>
        </w:rPr>
        <w:t>约160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每季度一次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全市工业经济运行座谈会（每次约30人，平均每月1次）等</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4.62</w:t>
      </w:r>
      <w:r>
        <w:rPr>
          <w:rFonts w:hint="eastAsia" w:ascii="Times New Roman" w:hAnsi="Times New Roman" w:eastAsia="仿宋_GB2312"/>
          <w:sz w:val="32"/>
          <w:szCs w:val="32"/>
        </w:rPr>
        <w:t>万元，</w:t>
      </w:r>
      <w:r>
        <w:rPr>
          <w:rFonts w:hint="eastAsia" w:ascii="仿宋_GB2312" w:hAnsi="仿宋_GB2312" w:eastAsia="仿宋_GB2312" w:cs="仿宋_GB2312"/>
          <w:sz w:val="32"/>
          <w:szCs w:val="32"/>
          <w:lang w:val="en-US" w:eastAsia="zh-CN"/>
        </w:rPr>
        <w:t>主要用于开展全市工业经济形势分析暨业务</w:t>
      </w:r>
      <w:r>
        <w:rPr>
          <w:rFonts w:hint="eastAsia" w:ascii="仿宋_GB2312" w:hAnsi="仿宋_GB2312" w:eastAsia="仿宋_GB2312" w:cs="仿宋_GB2312"/>
          <w:sz w:val="32"/>
          <w:szCs w:val="32"/>
        </w:rPr>
        <w:t>培训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小巨人企业申报培训等，人数约80人，内容为研究当前工业经济运行、工业经济运行监测业务工作培训、小巨人企业申报培训等</w:t>
      </w:r>
      <w:r>
        <w:rPr>
          <w:rFonts w:hint="eastAsia" w:ascii="Times New Roman" w:hAnsi="Times New Roman" w:eastAsia="仿宋_GB2312"/>
          <w:sz w:val="32"/>
          <w:szCs w:val="32"/>
        </w:rPr>
        <w:t>；</w:t>
      </w:r>
      <w:r>
        <w:rPr>
          <w:rFonts w:hint="eastAsia" w:ascii="仿宋_GB2312" w:hAnsi="仿宋_GB2312" w:eastAsia="仿宋_GB2312" w:cs="仿宋_GB2312"/>
          <w:sz w:val="32"/>
          <w:szCs w:val="32"/>
          <w:lang w:val="en-US" w:eastAsia="zh-CN"/>
        </w:rPr>
        <w:t>未举办节庆、晚会、论坛、赛事等活动，开支0万元。</w:t>
      </w:r>
    </w:p>
    <w:p w14:paraId="30D6DAA6">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2C59E875">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160.68</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137.05</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23.63</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160.68</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160.68</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p>
    <w:p w14:paraId="34746DC2">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33BDD574">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2</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2</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34E96022">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52D8338F">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3"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0688194C">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根据财政部《财政支出绩效评价管理暂行办法》、《湖南省人民政府关于全面推进预算绩效管理的意见》</w:t>
      </w:r>
      <w:r>
        <w:rPr>
          <w:rFonts w:hint="eastAsia" w:ascii="仿宋_GB2312" w:hAnsi="仿宋_GB2312" w:eastAsia="仿宋_GB2312" w:cs="仿宋_GB2312"/>
          <w:sz w:val="32"/>
          <w:szCs w:val="32"/>
          <w:lang w:val="en-US" w:eastAsia="zh-CN"/>
        </w:rPr>
        <w:t>等文件要求</w:t>
      </w:r>
      <w:r>
        <w:rPr>
          <w:rFonts w:hint="eastAsia" w:ascii="仿宋_GB2312" w:hAnsi="仿宋_GB2312" w:eastAsia="仿宋_GB2312" w:cs="仿宋_GB2312"/>
          <w:sz w:val="32"/>
          <w:szCs w:val="32"/>
        </w:rPr>
        <w:t>，我局建立了内部控制制度，严格按照制度管理项目资金。所有项目资金的使用按规定和要求进行资金拨付，全部</w:t>
      </w:r>
      <w:r>
        <w:rPr>
          <w:rFonts w:hint="eastAsia" w:ascii="仿宋_GB2312" w:hAnsi="仿宋_GB2312" w:eastAsia="仿宋_GB2312" w:cs="仿宋_GB2312"/>
          <w:sz w:val="32"/>
          <w:szCs w:val="32"/>
          <w:lang w:val="en-US" w:eastAsia="zh-CN"/>
        </w:rPr>
        <w:t>按照绩效目标支出方向列支经费</w:t>
      </w:r>
      <w:r>
        <w:rPr>
          <w:rFonts w:hint="eastAsia" w:ascii="仿宋_GB2312" w:hAnsi="仿宋_GB2312" w:eastAsia="仿宋_GB2312" w:cs="仿宋_GB2312"/>
          <w:sz w:val="32"/>
          <w:szCs w:val="32"/>
        </w:rPr>
        <w:t>。</w:t>
      </w:r>
    </w:p>
    <w:p w14:paraId="7C9F0F4E">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3" w:firstLineChars="200"/>
        <w:jc w:val="both"/>
        <w:textAlignment w:val="baseline"/>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233338BA">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年以来，</w:t>
      </w:r>
      <w:r>
        <w:rPr>
          <w:rFonts w:hint="eastAsia" w:eastAsia="仿宋_GB2312" w:cs="Times New Roman"/>
          <w:b w:val="0"/>
          <w:bCs w:val="0"/>
          <w:i w:val="0"/>
          <w:caps w:val="0"/>
          <w:color w:val="auto"/>
          <w:spacing w:val="0"/>
          <w:w w:val="100"/>
          <w:sz w:val="32"/>
          <w:szCs w:val="32"/>
          <w:lang w:val="en-US" w:eastAsia="zh-CN"/>
        </w:rPr>
        <w:t>一</w:t>
      </w:r>
      <w:r>
        <w:rPr>
          <w:rFonts w:hint="eastAsia" w:ascii="Times New Roman" w:hAnsi="Times New Roman" w:eastAsia="仿宋_GB2312" w:cs="Times New Roman"/>
          <w:b w:val="0"/>
          <w:bCs w:val="0"/>
          <w:i w:val="0"/>
          <w:caps w:val="0"/>
          <w:color w:val="auto"/>
          <w:spacing w:val="0"/>
          <w:w w:val="100"/>
          <w:sz w:val="32"/>
          <w:szCs w:val="32"/>
          <w:lang w:val="en-US" w:eastAsia="zh-CN"/>
        </w:rPr>
        <w:t>年来，</w:t>
      </w:r>
      <w:r>
        <w:rPr>
          <w:rFonts w:hint="default" w:ascii="Times New Roman" w:hAnsi="Times New Roman" w:eastAsia="仿宋_GB2312" w:cs="Times New Roman"/>
          <w:b w:val="0"/>
          <w:bCs w:val="0"/>
          <w:i w:val="0"/>
          <w:caps w:val="0"/>
          <w:color w:val="auto"/>
          <w:spacing w:val="0"/>
          <w:w w:val="100"/>
          <w:sz w:val="32"/>
          <w:szCs w:val="32"/>
          <w:lang w:val="en-US" w:eastAsia="zh-CN"/>
        </w:rPr>
        <w:t>在</w:t>
      </w:r>
      <w:r>
        <w:rPr>
          <w:rFonts w:hint="eastAsia" w:ascii="Times New Roman" w:hAnsi="Times New Roman" w:eastAsia="仿宋_GB2312" w:cs="Times New Roman"/>
          <w:b w:val="0"/>
          <w:bCs w:val="0"/>
          <w:i w:val="0"/>
          <w:caps w:val="0"/>
          <w:color w:val="auto"/>
          <w:spacing w:val="0"/>
          <w:w w:val="100"/>
          <w:sz w:val="32"/>
          <w:szCs w:val="32"/>
          <w:lang w:val="en-US" w:eastAsia="zh-CN"/>
        </w:rPr>
        <w:t>市委市政府的坚强领导下，</w:t>
      </w:r>
      <w:r>
        <w:rPr>
          <w:rFonts w:hint="eastAsia" w:eastAsia="仿宋_GB2312" w:cs="Times New Roman"/>
          <w:b w:val="0"/>
          <w:bCs w:val="0"/>
          <w:i w:val="0"/>
          <w:caps w:val="0"/>
          <w:color w:val="auto"/>
          <w:spacing w:val="0"/>
          <w:w w:val="100"/>
          <w:sz w:val="32"/>
          <w:szCs w:val="32"/>
          <w:lang w:val="en-US" w:eastAsia="zh-CN"/>
        </w:rPr>
        <w:t>全</w:t>
      </w:r>
      <w:r>
        <w:rPr>
          <w:rFonts w:hint="eastAsia" w:ascii="Times New Roman" w:hAnsi="Times New Roman" w:eastAsia="仿宋_GB2312" w:cs="Times New Roman"/>
          <w:b w:val="0"/>
          <w:bCs w:val="0"/>
          <w:i w:val="0"/>
          <w:caps w:val="0"/>
          <w:color w:val="auto"/>
          <w:spacing w:val="0"/>
          <w:w w:val="100"/>
          <w:sz w:val="32"/>
          <w:szCs w:val="32"/>
          <w:lang w:val="en-US" w:eastAsia="zh-CN"/>
        </w:rPr>
        <w:t>市工信系统</w:t>
      </w:r>
      <w:r>
        <w:rPr>
          <w:rFonts w:hint="eastAsia" w:eastAsia="仿宋_GB2312" w:cs="Times New Roman"/>
          <w:sz w:val="32"/>
          <w:szCs w:val="32"/>
          <w:lang w:val="en-US" w:eastAsia="zh-CN"/>
        </w:rPr>
        <w:t>以习近平新时代中国特色社会主义思想为指导，</w:t>
      </w:r>
      <w:r>
        <w:rPr>
          <w:rFonts w:hint="eastAsia" w:ascii="Times New Roman" w:hAnsi="Times New Roman" w:eastAsia="仿宋_GB2312" w:cs="Times New Roman"/>
          <w:sz w:val="32"/>
          <w:szCs w:val="32"/>
          <w:lang w:val="en-US" w:eastAsia="zh-CN"/>
        </w:rPr>
        <w:t>认真落实党中央、国务院决策部署和省委省政府、市委市政府工作安排，</w:t>
      </w:r>
      <w:r>
        <w:rPr>
          <w:rFonts w:hint="eastAsia" w:eastAsia="仿宋_GB2312" w:cs="Times New Roman"/>
          <w:sz w:val="32"/>
          <w:szCs w:val="32"/>
          <w:lang w:val="en-US" w:eastAsia="zh-CN"/>
        </w:rPr>
        <w:t>扎实开展主题教育，深入开展“走找想促”活动，锚定</w:t>
      </w:r>
      <w:r>
        <w:rPr>
          <w:rFonts w:hint="eastAsia" w:ascii="Times New Roman" w:hAnsi="Times New Roman" w:eastAsia="仿宋_GB2312" w:cs="Times New Roman"/>
          <w:b w:val="0"/>
          <w:bCs w:val="0"/>
          <w:i w:val="0"/>
          <w:caps w:val="0"/>
          <w:color w:val="auto"/>
          <w:spacing w:val="0"/>
          <w:w w:val="100"/>
          <w:sz w:val="32"/>
          <w:szCs w:val="32"/>
          <w:lang w:val="en-US" w:eastAsia="zh-CN"/>
        </w:rPr>
        <w:t>“三高四新”美好蓝图，</w:t>
      </w:r>
      <w:r>
        <w:rPr>
          <w:rFonts w:hint="eastAsia" w:eastAsia="仿宋_GB2312" w:cs="Times New Roman"/>
          <w:b w:val="0"/>
          <w:bCs w:val="0"/>
          <w:i w:val="0"/>
          <w:caps w:val="0"/>
          <w:color w:val="auto"/>
          <w:spacing w:val="0"/>
          <w:w w:val="100"/>
          <w:sz w:val="32"/>
          <w:szCs w:val="32"/>
          <w:lang w:val="en-US" w:eastAsia="zh-CN"/>
        </w:rPr>
        <w:t>聚力</w:t>
      </w:r>
      <w:r>
        <w:rPr>
          <w:rFonts w:hint="eastAsia" w:ascii="Times New Roman" w:hAnsi="Times New Roman" w:eastAsia="仿宋_GB2312" w:cs="Times New Roman"/>
          <w:b w:val="0"/>
          <w:bCs w:val="0"/>
          <w:i w:val="0"/>
          <w:caps w:val="0"/>
          <w:color w:val="auto"/>
          <w:spacing w:val="0"/>
          <w:w w:val="100"/>
          <w:sz w:val="32"/>
          <w:szCs w:val="32"/>
          <w:lang w:val="en-US" w:eastAsia="zh-CN"/>
        </w:rPr>
        <w:t>打好经济增长主动仗</w:t>
      </w:r>
      <w:r>
        <w:rPr>
          <w:rFonts w:hint="eastAsia" w:eastAsia="仿宋_GB2312" w:cs="Times New Roman"/>
          <w:b w:val="0"/>
          <w:bCs w:val="0"/>
          <w:i w:val="0"/>
          <w:caps w:val="0"/>
          <w:color w:val="auto"/>
          <w:spacing w:val="0"/>
          <w:w w:val="100"/>
          <w:sz w:val="32"/>
          <w:szCs w:val="32"/>
          <w:lang w:val="en-US" w:eastAsia="zh-CN"/>
        </w:rPr>
        <w:t>等“发展六仗”</w:t>
      </w:r>
      <w:r>
        <w:rPr>
          <w:rFonts w:hint="eastAsia" w:ascii="Times New Roman" w:hAnsi="Times New Roman" w:eastAsia="仿宋_GB2312" w:cs="Times New Roman"/>
          <w:b w:val="0"/>
          <w:bCs w:val="0"/>
          <w:i w:val="0"/>
          <w:caps w:val="0"/>
          <w:color w:val="auto"/>
          <w:spacing w:val="0"/>
          <w:w w:val="100"/>
          <w:sz w:val="32"/>
          <w:szCs w:val="32"/>
          <w:lang w:val="en-US" w:eastAsia="zh-CN"/>
        </w:rPr>
        <w:t>，抓实企业、产业、产业链、产业生态“四个着力点”，全力以赴稳增长、强集群、促转型、增动能、优服务，扎实推进新型工业化，持续夯实党的建设，</w:t>
      </w:r>
      <w:r>
        <w:rPr>
          <w:rFonts w:hint="eastAsia" w:eastAsia="仿宋_GB2312" w:cs="Times New Roman"/>
          <w:b w:val="0"/>
          <w:bCs w:val="0"/>
          <w:i w:val="0"/>
          <w:caps w:val="0"/>
          <w:color w:val="auto"/>
          <w:spacing w:val="0"/>
          <w:w w:val="100"/>
          <w:sz w:val="32"/>
          <w:szCs w:val="32"/>
          <w:lang w:val="en-US" w:eastAsia="zh-CN"/>
        </w:rPr>
        <w:t>全市工业和信息化发展呈现量质齐升、加速向好局面，工业经济高质量发展迈出坚实步伐</w:t>
      </w:r>
      <w:r>
        <w:rPr>
          <w:rFonts w:hint="eastAsia" w:ascii="Times New Roman" w:hAnsi="Times New Roman" w:eastAsia="仿宋_GB2312" w:cs="Times New Roman"/>
          <w:b w:val="0"/>
          <w:bCs w:val="0"/>
          <w:i w:val="0"/>
          <w:caps w:val="0"/>
          <w:color w:val="auto"/>
          <w:spacing w:val="0"/>
          <w:w w:val="100"/>
          <w:sz w:val="32"/>
          <w:szCs w:val="32"/>
          <w:lang w:val="en-US" w:eastAsia="zh-CN"/>
        </w:rPr>
        <w:t>。集群培育、工业投资稳居全省第一方阵，全市“建设数字基础设施、推进‘智赋万企’行动”工作获省政府真抓实干督查激励，市本级、县市区（园区）“1+4”共夺得省政府真抓实干激励奖项6项、实现在全省工信领域“大满贯、全覆盖”。</w:t>
      </w:r>
      <w:r>
        <w:rPr>
          <w:rFonts w:hint="eastAsia" w:ascii="仿宋_GB2312" w:hAnsi="仿宋_GB2312" w:eastAsia="仿宋_GB2312" w:cs="仿宋_GB2312"/>
          <w:sz w:val="32"/>
          <w:szCs w:val="32"/>
          <w:lang w:val="en-US" w:eastAsia="zh-CN"/>
        </w:rPr>
        <w:t>我单位</w:t>
      </w:r>
      <w:r>
        <w:rPr>
          <w:rFonts w:hint="eastAsia" w:ascii="仿宋_GB2312" w:hAnsi="仿宋_GB2312" w:eastAsia="仿宋_GB2312" w:cs="仿宋_GB2312"/>
          <w:sz w:val="32"/>
          <w:szCs w:val="32"/>
        </w:rPr>
        <w:t>圆满完成了预算规划的各项工作及市委、市政府交办的其他事项，履行了部门各项职责，达到了预算所设立的主要目标，202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年度永州市工业和信息化局部门整体支出绩效自评结果为</w:t>
      </w:r>
      <w:r>
        <w:rPr>
          <w:rFonts w:hint="eastAsia" w:ascii="仿宋_GB2312" w:hAnsi="仿宋_GB2312" w:eastAsia="仿宋_GB2312" w:cs="仿宋_GB2312"/>
          <w:sz w:val="32"/>
          <w:szCs w:val="32"/>
          <w:lang w:val="en-US" w:eastAsia="zh-CN"/>
        </w:rPr>
        <w:t>98</w:t>
      </w:r>
      <w:r>
        <w:rPr>
          <w:rFonts w:hint="eastAsia" w:ascii="仿宋_GB2312" w:hAnsi="仿宋_GB2312" w:eastAsia="仿宋_GB2312" w:cs="仿宋_GB2312"/>
          <w:sz w:val="32"/>
          <w:szCs w:val="32"/>
        </w:rPr>
        <w:t>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详见部门绩效自评报告</w:t>
      </w:r>
      <w:r>
        <w:rPr>
          <w:rFonts w:hint="eastAsia" w:ascii="仿宋_GB2312" w:hAnsi="仿宋_GB2312" w:eastAsia="仿宋_GB2312" w:cs="仿宋_GB2312"/>
          <w:sz w:val="32"/>
          <w:szCs w:val="32"/>
          <w:lang w:eastAsia="zh-CN"/>
        </w:rPr>
        <w:t>）</w:t>
      </w:r>
    </w:p>
    <w:p w14:paraId="4BD8E96F">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3" w:firstLineChars="200"/>
        <w:jc w:val="both"/>
        <w:textAlignment w:val="baseline"/>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存在的问题及原因分析</w:t>
      </w:r>
    </w:p>
    <w:p w14:paraId="7759716B">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方正小标宋_GBK" w:hAnsi="方正小标宋_GBK" w:eastAsia="方正小标宋_GBK" w:cs="方正小标宋_GBK"/>
          <w:sz w:val="72"/>
          <w:szCs w:val="72"/>
        </w:rPr>
      </w:pPr>
      <w:r>
        <w:rPr>
          <w:rFonts w:hint="eastAsia" w:ascii="仿宋_GB2312" w:hAnsi="仿宋_GB2312" w:eastAsia="仿宋_GB2312" w:cs="仿宋_GB2312"/>
          <w:sz w:val="32"/>
          <w:szCs w:val="32"/>
        </w:rPr>
        <w:t>年初实施预算编制时，未将上级拨付资金未列入年初部门预算范畴，剔除政策性追加的人员经费外，其余市本级资金也采取年中调整预算的方式增拨经费，</w:t>
      </w:r>
      <w:r>
        <w:rPr>
          <w:rFonts w:hint="eastAsia" w:ascii="仿宋_GB2312" w:hAnsi="仿宋_GB2312" w:eastAsia="仿宋_GB2312" w:cs="仿宋_GB2312"/>
          <w:sz w:val="32"/>
          <w:szCs w:val="32"/>
          <w:lang w:val="en-US" w:eastAsia="zh-CN"/>
        </w:rPr>
        <w:t>从</w:t>
      </w:r>
      <w:r>
        <w:rPr>
          <w:rFonts w:hint="eastAsia" w:ascii="仿宋_GB2312" w:hAnsi="仿宋_GB2312" w:eastAsia="仿宋_GB2312" w:cs="仿宋_GB2312"/>
          <w:sz w:val="32"/>
          <w:szCs w:val="32"/>
        </w:rPr>
        <w:t>而导致预决算</w:t>
      </w:r>
      <w:r>
        <w:rPr>
          <w:rFonts w:hint="eastAsia" w:ascii="仿宋_GB2312" w:hAnsi="仿宋_GB2312" w:eastAsia="仿宋_GB2312" w:cs="仿宋_GB2312"/>
          <w:sz w:val="32"/>
          <w:szCs w:val="32"/>
          <w:lang w:val="en-US" w:eastAsia="zh-CN"/>
        </w:rPr>
        <w:t>有所</w:t>
      </w:r>
      <w:r>
        <w:rPr>
          <w:rFonts w:hint="eastAsia" w:ascii="仿宋_GB2312" w:hAnsi="仿宋_GB2312" w:eastAsia="仿宋_GB2312" w:cs="仿宋_GB2312"/>
          <w:sz w:val="32"/>
          <w:szCs w:val="32"/>
        </w:rPr>
        <w:t>差异。</w:t>
      </w:r>
    </w:p>
    <w:p w14:paraId="55AC5A3F">
      <w:pPr>
        <w:pStyle w:val="14"/>
        <w:jc w:val="both"/>
        <w:rPr>
          <w:rFonts w:hint="eastAsia" w:ascii="方正小标宋_GBK" w:hAnsi="方正小标宋_GBK" w:eastAsia="方正小标宋_GBK" w:cs="方正小标宋_GBK"/>
          <w:sz w:val="72"/>
          <w:szCs w:val="72"/>
        </w:rPr>
      </w:pPr>
    </w:p>
    <w:p w14:paraId="46E8F906">
      <w:pPr>
        <w:pStyle w:val="14"/>
        <w:jc w:val="both"/>
        <w:rPr>
          <w:rFonts w:hint="eastAsia" w:ascii="方正小标宋_GBK" w:hAnsi="方正小标宋_GBK" w:eastAsia="方正小标宋_GBK" w:cs="方正小标宋_GBK"/>
          <w:sz w:val="72"/>
          <w:szCs w:val="72"/>
        </w:rPr>
      </w:pPr>
    </w:p>
    <w:p w14:paraId="7791202B">
      <w:pPr>
        <w:pStyle w:val="14"/>
        <w:jc w:val="both"/>
        <w:rPr>
          <w:rFonts w:hint="eastAsia" w:ascii="方正小标宋_GBK" w:hAnsi="方正小标宋_GBK" w:eastAsia="方正小标宋_GBK" w:cs="方正小标宋_GBK"/>
          <w:sz w:val="72"/>
          <w:szCs w:val="72"/>
        </w:rPr>
      </w:pPr>
    </w:p>
    <w:p w14:paraId="15D402FD">
      <w:pPr>
        <w:pStyle w:val="14"/>
        <w:jc w:val="center"/>
        <w:rPr>
          <w:rFonts w:hint="eastAsia" w:ascii="方正小标宋_GBK" w:hAnsi="方正小标宋_GBK" w:eastAsia="方正小标宋_GBK" w:cs="方正小标宋_GBK"/>
          <w:sz w:val="72"/>
          <w:szCs w:val="72"/>
        </w:rPr>
      </w:pPr>
    </w:p>
    <w:p w14:paraId="5123FF1D">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768FA530">
      <w:pPr>
        <w:jc w:val="center"/>
        <w:rPr>
          <w:rFonts w:hint="eastAsia" w:ascii="方正小标宋_GBK" w:hAnsi="方正小标宋_GBK" w:eastAsia="方正小标宋_GBK" w:cs="方正小标宋_GBK"/>
          <w:color w:val="000000"/>
          <w:kern w:val="0"/>
          <w:sz w:val="70"/>
          <w:szCs w:val="70"/>
        </w:rPr>
      </w:pPr>
    </w:p>
    <w:p w14:paraId="038E8967">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E9C4D70">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072B30E5">
      <w:pPr>
        <w:pStyle w:val="14"/>
        <w:keepNext w:val="0"/>
        <w:keepLines w:val="0"/>
        <w:pageBreakBefore w:val="0"/>
        <w:kinsoku/>
        <w:wordWrap/>
        <w:overflowPunct/>
        <w:topLinePunct w:val="0"/>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一、基本支出：</w:t>
      </w:r>
      <w:r>
        <w:rPr>
          <w:rFonts w:hint="eastAsia" w:ascii="仿宋_GB2312" w:hAnsi="仿宋_GB2312" w:eastAsia="仿宋_GB2312" w:cs="仿宋_GB2312"/>
          <w:sz w:val="32"/>
          <w:szCs w:val="32"/>
        </w:rPr>
        <w:t>指为保障机构正常运转、完成日常工作任务而发生的各项支出，包括人员支出和公用支出。</w:t>
      </w:r>
    </w:p>
    <w:p w14:paraId="13A37241">
      <w:pPr>
        <w:pStyle w:val="14"/>
        <w:keepNext w:val="0"/>
        <w:keepLines w:val="0"/>
        <w:pageBreakBefore w:val="0"/>
        <w:kinsoku/>
        <w:wordWrap/>
        <w:overflowPunct/>
        <w:topLinePunct w:val="0"/>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项目支出：</w:t>
      </w:r>
      <w:r>
        <w:rPr>
          <w:rFonts w:hint="eastAsia" w:ascii="仿宋_GB2312" w:hAnsi="仿宋_GB2312" w:eastAsia="仿宋_GB2312" w:cs="仿宋_GB2312"/>
          <w:sz w:val="32"/>
          <w:szCs w:val="32"/>
        </w:rPr>
        <w:t>指在基本支出以外为完成相关执行任务和事业发展目标所发生的各项支出。</w:t>
      </w:r>
    </w:p>
    <w:p w14:paraId="3056A9A8">
      <w:pPr>
        <w:pStyle w:val="14"/>
        <w:keepNext w:val="0"/>
        <w:keepLines w:val="0"/>
        <w:pageBreakBefore w:val="0"/>
        <w:kinsoku/>
        <w:wordWrap/>
        <w:overflowPunct/>
        <w:topLinePunct w:val="0"/>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“三公”经费：</w:t>
      </w:r>
      <w:r>
        <w:rPr>
          <w:rFonts w:hint="eastAsia" w:ascii="仿宋_GB2312" w:hAnsi="仿宋_GB2312" w:eastAsia="仿宋_GB2312" w:cs="仿宋_GB2312"/>
          <w:sz w:val="32"/>
          <w:szCs w:val="32"/>
        </w:rPr>
        <w:t>指通过财政拨款资金安排的因公出国（境）费、公务用车购置及运行费和公务接待费支出。</w:t>
      </w:r>
    </w:p>
    <w:p w14:paraId="512E8C6F">
      <w:pPr>
        <w:pStyle w:val="14"/>
        <w:keepNext w:val="0"/>
        <w:keepLines w:val="0"/>
        <w:pageBreakBefore w:val="0"/>
        <w:kinsoku/>
        <w:wordWrap/>
        <w:overflowPunct/>
        <w:topLinePunct w:val="0"/>
        <w:bidi w:val="0"/>
        <w:adjustRightInd/>
        <w:snapToGrid/>
        <w:spacing w:line="560" w:lineRule="exact"/>
        <w:ind w:firstLine="643" w:firstLineChars="200"/>
        <w:jc w:val="both"/>
        <w:textAlignment w:val="auto"/>
        <w:rPr>
          <w:rFonts w:hint="default" w:ascii="仿宋_GB2312" w:hAnsi="仿宋_GB2312" w:eastAsia="仿宋_GB2312" w:cs="仿宋_GB2312"/>
          <w:sz w:val="32"/>
          <w:szCs w:val="32"/>
        </w:rPr>
      </w:pPr>
      <w:r>
        <w:rPr>
          <w:rFonts w:hint="eastAsia" w:ascii="仿宋_GB2312" w:hAnsi="仿宋_GB2312" w:eastAsia="仿宋_GB2312" w:cs="仿宋_GB2312"/>
          <w:b/>
          <w:bCs/>
          <w:sz w:val="32"/>
          <w:szCs w:val="32"/>
        </w:rPr>
        <w:t>四</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机关运行经费：</w:t>
      </w:r>
      <w:r>
        <w:rPr>
          <w:rFonts w:hint="eastAsia" w:ascii="仿宋_GB2312" w:hAnsi="仿宋_GB2312" w:eastAsia="仿宋_GB2312" w:cs="仿宋_GB2312"/>
          <w:sz w:val="32"/>
          <w:szCs w:val="32"/>
        </w:rPr>
        <w:t>是指各部门的公用经费，包括办公费、印刷费、邮电费、差旅费、会议费、福利费、日常维修费、专用材料及一般设备购置费、办公用房水电费、办公用房取暖费、办公用房物业管理费、公务用车运行维护费以及其他费用。</w:t>
      </w:r>
    </w:p>
    <w:p w14:paraId="62F68819">
      <w:pPr>
        <w:pStyle w:val="14"/>
        <w:jc w:val="center"/>
        <w:rPr>
          <w:sz w:val="72"/>
          <w:szCs w:val="72"/>
        </w:rPr>
      </w:pPr>
    </w:p>
    <w:p w14:paraId="3AC37D42">
      <w:pPr>
        <w:pStyle w:val="14"/>
        <w:jc w:val="center"/>
        <w:rPr>
          <w:sz w:val="72"/>
          <w:szCs w:val="72"/>
        </w:rPr>
      </w:pPr>
    </w:p>
    <w:p w14:paraId="27CCFDE9">
      <w:pPr>
        <w:pStyle w:val="14"/>
        <w:jc w:val="center"/>
        <w:rPr>
          <w:sz w:val="72"/>
          <w:szCs w:val="72"/>
        </w:rPr>
      </w:pPr>
    </w:p>
    <w:p w14:paraId="5AE5FC07">
      <w:pPr>
        <w:pStyle w:val="14"/>
        <w:jc w:val="center"/>
        <w:rPr>
          <w:sz w:val="72"/>
          <w:szCs w:val="72"/>
        </w:rPr>
      </w:pPr>
    </w:p>
    <w:p w14:paraId="237DEF5F">
      <w:pPr>
        <w:pStyle w:val="14"/>
        <w:jc w:val="center"/>
        <w:rPr>
          <w:sz w:val="72"/>
          <w:szCs w:val="72"/>
        </w:rPr>
      </w:pPr>
    </w:p>
    <w:p w14:paraId="68CE9EF1">
      <w:pPr>
        <w:pStyle w:val="14"/>
        <w:jc w:val="center"/>
        <w:rPr>
          <w:sz w:val="72"/>
          <w:szCs w:val="72"/>
        </w:rPr>
      </w:pPr>
    </w:p>
    <w:p w14:paraId="78ABFDB1">
      <w:pPr>
        <w:pStyle w:val="14"/>
        <w:jc w:val="center"/>
        <w:rPr>
          <w:sz w:val="72"/>
          <w:szCs w:val="72"/>
        </w:rPr>
      </w:pPr>
    </w:p>
    <w:p w14:paraId="64D9703F">
      <w:pPr>
        <w:pStyle w:val="14"/>
        <w:jc w:val="center"/>
        <w:rPr>
          <w:sz w:val="72"/>
          <w:szCs w:val="72"/>
        </w:rPr>
      </w:pPr>
    </w:p>
    <w:p w14:paraId="30CCAC57">
      <w:pPr>
        <w:rPr>
          <w:sz w:val="72"/>
          <w:szCs w:val="72"/>
        </w:rPr>
      </w:pPr>
      <w:r>
        <w:rPr>
          <w:sz w:val="72"/>
          <w:szCs w:val="72"/>
        </w:rPr>
        <w:br w:type="page"/>
      </w:r>
    </w:p>
    <w:p w14:paraId="1BB66FEE">
      <w:pPr>
        <w:pStyle w:val="14"/>
        <w:jc w:val="center"/>
        <w:rPr>
          <w:rFonts w:hint="eastAsia" w:ascii="方正小标宋_GBK" w:hAnsi="方正小标宋_GBK" w:eastAsia="方正小标宋_GBK" w:cs="方正小标宋_GBK"/>
          <w:sz w:val="72"/>
          <w:szCs w:val="72"/>
        </w:rPr>
      </w:pPr>
    </w:p>
    <w:p w14:paraId="5E4375FE">
      <w:pPr>
        <w:pStyle w:val="14"/>
        <w:jc w:val="center"/>
        <w:rPr>
          <w:rFonts w:hint="eastAsia" w:ascii="方正小标宋_GBK" w:hAnsi="方正小标宋_GBK" w:eastAsia="方正小标宋_GBK" w:cs="方正小标宋_GBK"/>
          <w:sz w:val="72"/>
          <w:szCs w:val="72"/>
        </w:rPr>
      </w:pPr>
    </w:p>
    <w:p w14:paraId="3CE9E859">
      <w:pPr>
        <w:pStyle w:val="14"/>
        <w:jc w:val="center"/>
        <w:rPr>
          <w:rFonts w:hint="eastAsia" w:ascii="方正小标宋_GBK" w:hAnsi="方正小标宋_GBK" w:eastAsia="方正小标宋_GBK" w:cs="方正小标宋_GBK"/>
          <w:sz w:val="72"/>
          <w:szCs w:val="72"/>
        </w:rPr>
      </w:pPr>
    </w:p>
    <w:p w14:paraId="54E1A258">
      <w:pPr>
        <w:pStyle w:val="14"/>
        <w:jc w:val="center"/>
        <w:rPr>
          <w:rFonts w:hint="eastAsia" w:ascii="方正小标宋_GBK" w:hAnsi="方正小标宋_GBK" w:eastAsia="方正小标宋_GBK" w:cs="方正小标宋_GBK"/>
          <w:sz w:val="72"/>
          <w:szCs w:val="72"/>
        </w:rPr>
      </w:pPr>
    </w:p>
    <w:p w14:paraId="24D99BB2">
      <w:pPr>
        <w:pStyle w:val="14"/>
        <w:jc w:val="center"/>
        <w:rPr>
          <w:rFonts w:hint="eastAsia" w:ascii="方正小标宋_GBK" w:hAnsi="方正小标宋_GBK" w:eastAsia="方正小标宋_GBK" w:cs="方正小标宋_GBK"/>
          <w:sz w:val="72"/>
          <w:szCs w:val="72"/>
        </w:rPr>
      </w:pPr>
    </w:p>
    <w:p w14:paraId="72B7F29F">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756D7674">
      <w:pPr>
        <w:pStyle w:val="14"/>
        <w:jc w:val="center"/>
        <w:rPr>
          <w:rFonts w:hint="eastAsia" w:ascii="方正小标宋_GBK" w:hAnsi="方正小标宋_GBK" w:eastAsia="方正小标宋_GBK" w:cs="方正小标宋_GBK"/>
          <w:sz w:val="70"/>
          <w:szCs w:val="70"/>
        </w:rPr>
      </w:pPr>
    </w:p>
    <w:p w14:paraId="3FA0BCAC">
      <w:pPr>
        <w:pStyle w:val="14"/>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7CFE2272">
      <w:pPr>
        <w:rPr>
          <w:sz w:val="72"/>
          <w:szCs w:val="72"/>
        </w:rPr>
      </w:pPr>
    </w:p>
    <w:p w14:paraId="5C41974A">
      <w:pPr>
        <w:pStyle w:val="14"/>
        <w:jc w:val="center"/>
        <w:rPr>
          <w:sz w:val="72"/>
          <w:szCs w:val="72"/>
        </w:rPr>
      </w:pPr>
    </w:p>
    <w:p w14:paraId="26F4EF66">
      <w:pPr>
        <w:pStyle w:val="14"/>
        <w:jc w:val="center"/>
        <w:rPr>
          <w:sz w:val="72"/>
          <w:szCs w:val="72"/>
        </w:rPr>
      </w:pPr>
    </w:p>
    <w:p w14:paraId="56BBAD52">
      <w:pPr>
        <w:jc w:val="left"/>
        <w:rPr>
          <w:rFonts w:cs="黑体" w:asciiTheme="minorEastAsia" w:hAnsiTheme="minorEastAsia"/>
          <w:color w:val="000000"/>
          <w:kern w:val="0"/>
          <w:sz w:val="32"/>
          <w:szCs w:val="32"/>
        </w:rPr>
      </w:pPr>
    </w:p>
    <w:p w14:paraId="3D12575A">
      <w:pPr>
        <w:pStyle w:val="2"/>
        <w:rPr>
          <w:rFonts w:cs="黑体" w:asciiTheme="minorEastAsia" w:hAnsiTheme="minorEastAsia"/>
          <w:color w:val="000000"/>
          <w:kern w:val="0"/>
          <w:sz w:val="32"/>
          <w:szCs w:val="32"/>
        </w:rPr>
      </w:pPr>
    </w:p>
    <w:p w14:paraId="3EDB8913">
      <w:pPr>
        <w:pStyle w:val="3"/>
        <w:rPr>
          <w:rFonts w:cs="黑体" w:asciiTheme="minorEastAsia" w:hAnsiTheme="minorEastAsia"/>
          <w:color w:val="000000"/>
          <w:kern w:val="0"/>
          <w:sz w:val="32"/>
          <w:szCs w:val="32"/>
        </w:rPr>
      </w:pPr>
    </w:p>
    <w:p w14:paraId="23B907F4">
      <w:pPr>
        <w:spacing w:line="600" w:lineRule="exact"/>
        <w:rPr>
          <w:rFonts w:eastAsia="黑体"/>
          <w:sz w:val="32"/>
          <w:szCs w:val="32"/>
        </w:rPr>
      </w:pPr>
    </w:p>
    <w:p w14:paraId="307C7A36">
      <w:pPr>
        <w:spacing w:line="600" w:lineRule="exact"/>
        <w:rPr>
          <w:rFonts w:eastAsia="黑体"/>
          <w:sz w:val="32"/>
          <w:szCs w:val="32"/>
        </w:rPr>
      </w:pPr>
    </w:p>
    <w:p w14:paraId="32EA1E53">
      <w:pPr>
        <w:spacing w:line="600" w:lineRule="exact"/>
        <w:rPr>
          <w:rFonts w:eastAsia="黑体"/>
          <w:sz w:val="32"/>
          <w:szCs w:val="32"/>
        </w:rPr>
      </w:pPr>
    </w:p>
    <w:p w14:paraId="5B3227C6">
      <w:pPr>
        <w:spacing w:line="600" w:lineRule="exact"/>
        <w:rPr>
          <w:rFonts w:eastAsia="黑体"/>
          <w:sz w:val="32"/>
          <w:szCs w:val="32"/>
        </w:rPr>
      </w:pPr>
    </w:p>
    <w:p w14:paraId="4CA29B40">
      <w:pPr>
        <w:jc w:val="center"/>
        <w:outlineLvl w:val="1"/>
        <w:rPr>
          <w:rFonts w:hint="eastAsia" w:ascii="方正小标宋简体" w:eastAsia="方正小标宋简体"/>
          <w:sz w:val="52"/>
          <w:szCs w:val="52"/>
        </w:rPr>
      </w:pPr>
      <w:r>
        <w:rPr>
          <w:rFonts w:hint="eastAsia" w:ascii="方正小标宋简体" w:eastAsia="方正小标宋简体"/>
          <w:sz w:val="52"/>
          <w:szCs w:val="52"/>
        </w:rPr>
        <w:t>202</w:t>
      </w:r>
      <w:r>
        <w:rPr>
          <w:rFonts w:hint="eastAsia" w:ascii="方正小标宋简体" w:eastAsia="方正小标宋简体"/>
          <w:sz w:val="52"/>
          <w:szCs w:val="52"/>
          <w:lang w:val="en-US" w:eastAsia="zh-CN"/>
        </w:rPr>
        <w:t>3</w:t>
      </w:r>
      <w:r>
        <w:rPr>
          <w:rFonts w:hint="eastAsia" w:ascii="方正小标宋简体" w:eastAsia="方正小标宋简体"/>
          <w:sz w:val="52"/>
          <w:szCs w:val="52"/>
        </w:rPr>
        <w:t>年度</w:t>
      </w:r>
      <w:r>
        <w:rPr>
          <w:rFonts w:hint="eastAsia" w:ascii="方正小标宋简体" w:eastAsia="方正小标宋简体"/>
          <w:sz w:val="52"/>
          <w:szCs w:val="52"/>
          <w:lang w:val="en-US" w:eastAsia="zh-CN"/>
        </w:rPr>
        <w:t>永州市工业和信息化局</w:t>
      </w:r>
      <w:r>
        <w:rPr>
          <w:rFonts w:hint="eastAsia" w:ascii="方正小标宋简体" w:eastAsia="方正小标宋简体"/>
          <w:sz w:val="52"/>
          <w:szCs w:val="52"/>
        </w:rPr>
        <w:t>部门（单位）整体支出</w:t>
      </w:r>
    </w:p>
    <w:p w14:paraId="16ED129D">
      <w:pPr>
        <w:jc w:val="center"/>
        <w:outlineLvl w:val="1"/>
        <w:rPr>
          <w:rFonts w:hint="eastAsia" w:ascii="方正小标宋简体" w:eastAsia="方正小标宋简体"/>
          <w:sz w:val="52"/>
          <w:szCs w:val="52"/>
        </w:rPr>
      </w:pPr>
      <w:r>
        <w:rPr>
          <w:rFonts w:hint="eastAsia" w:ascii="方正小标宋简体" w:eastAsia="方正小标宋简体"/>
          <w:sz w:val="52"/>
          <w:szCs w:val="52"/>
        </w:rPr>
        <w:t>绩效自评报告</w:t>
      </w:r>
    </w:p>
    <w:p w14:paraId="473114DE">
      <w:pPr>
        <w:jc w:val="center"/>
        <w:rPr>
          <w:rFonts w:eastAsia="方正小标宋_GBK"/>
          <w:b/>
          <w:sz w:val="52"/>
          <w:szCs w:val="52"/>
        </w:rPr>
      </w:pPr>
    </w:p>
    <w:p w14:paraId="3111D1E6">
      <w:pPr>
        <w:jc w:val="both"/>
        <w:rPr>
          <w:rFonts w:eastAsia="黑体"/>
          <w:sz w:val="32"/>
          <w:szCs w:val="32"/>
        </w:rPr>
      </w:pPr>
    </w:p>
    <w:p w14:paraId="332EFDE4">
      <w:pPr>
        <w:jc w:val="center"/>
        <w:rPr>
          <w:rFonts w:eastAsia="黑体"/>
          <w:sz w:val="32"/>
          <w:szCs w:val="32"/>
        </w:rPr>
      </w:pPr>
    </w:p>
    <w:p w14:paraId="53CB084A">
      <w:pPr>
        <w:jc w:val="center"/>
        <w:rPr>
          <w:rFonts w:eastAsia="黑体"/>
          <w:sz w:val="32"/>
          <w:szCs w:val="32"/>
        </w:rPr>
      </w:pPr>
    </w:p>
    <w:p w14:paraId="7CABD4CA">
      <w:pPr>
        <w:jc w:val="center"/>
        <w:rPr>
          <w:rFonts w:eastAsia="黑体"/>
          <w:sz w:val="32"/>
          <w:szCs w:val="32"/>
        </w:rPr>
      </w:pPr>
    </w:p>
    <w:p w14:paraId="4D8A26CC">
      <w:pPr>
        <w:rPr>
          <w:rFonts w:eastAsia="黑体"/>
          <w:sz w:val="32"/>
          <w:szCs w:val="32"/>
        </w:rPr>
      </w:pPr>
    </w:p>
    <w:p w14:paraId="5CD64B9D">
      <w:pPr>
        <w:jc w:val="center"/>
        <w:rPr>
          <w:rFonts w:eastAsia="黑体"/>
          <w:sz w:val="32"/>
          <w:szCs w:val="32"/>
        </w:rPr>
      </w:pPr>
    </w:p>
    <w:p w14:paraId="156E58FD">
      <w:pPr>
        <w:jc w:val="center"/>
        <w:rPr>
          <w:rFonts w:eastAsia="黑体"/>
          <w:sz w:val="32"/>
          <w:szCs w:val="32"/>
        </w:rPr>
      </w:pPr>
    </w:p>
    <w:p w14:paraId="53DD502A">
      <w:pPr>
        <w:jc w:val="center"/>
        <w:rPr>
          <w:rFonts w:eastAsia="黑体"/>
          <w:sz w:val="32"/>
          <w:szCs w:val="32"/>
        </w:rPr>
      </w:pPr>
    </w:p>
    <w:p w14:paraId="04638DE1">
      <w:pPr>
        <w:spacing w:line="600" w:lineRule="exact"/>
        <w:ind w:firstLine="1920" w:firstLineChars="600"/>
        <w:rPr>
          <w:rFonts w:eastAsia="仿宋_GB2312"/>
          <w:sz w:val="32"/>
          <w:szCs w:val="32"/>
          <w:u w:val="single"/>
        </w:rPr>
      </w:pPr>
      <w:r>
        <w:rPr>
          <w:rFonts w:eastAsia="仿宋_GB2312"/>
          <w:sz w:val="32"/>
          <w:szCs w:val="32"/>
        </w:rPr>
        <w:t>单位名称：</w:t>
      </w:r>
      <w:r>
        <w:rPr>
          <w:rFonts w:hint="eastAsia" w:eastAsia="仿宋_GB2312"/>
          <w:sz w:val="32"/>
          <w:szCs w:val="32"/>
          <w:u w:val="single"/>
          <w:lang w:val="en-US" w:eastAsia="zh-CN"/>
        </w:rPr>
        <w:t xml:space="preserve"> 永州市工业和信息化局</w:t>
      </w:r>
      <w:r>
        <w:rPr>
          <w:rFonts w:eastAsia="仿宋_GB2312"/>
          <w:sz w:val="32"/>
          <w:szCs w:val="32"/>
          <w:u w:val="single"/>
        </w:rPr>
        <w:t xml:space="preserve"> </w:t>
      </w:r>
    </w:p>
    <w:p w14:paraId="0AC86A2A">
      <w:pPr>
        <w:spacing w:line="600" w:lineRule="exact"/>
        <w:ind w:firstLine="3520" w:firstLineChars="1100"/>
        <w:rPr>
          <w:rFonts w:eastAsia="仿宋_GB2312"/>
          <w:sz w:val="32"/>
          <w:szCs w:val="32"/>
        </w:rPr>
      </w:pPr>
      <w:r>
        <w:rPr>
          <w:rFonts w:hint="eastAsia" w:eastAsia="楷体_GB2312"/>
          <w:sz w:val="32"/>
          <w:szCs w:val="32"/>
          <w:lang w:val="en-US" w:eastAsia="zh-CN"/>
        </w:rPr>
        <w:t>2024</w:t>
      </w:r>
      <w:r>
        <w:rPr>
          <w:rFonts w:eastAsia="楷体_GB2312"/>
          <w:sz w:val="32"/>
          <w:szCs w:val="32"/>
        </w:rPr>
        <w:t>年</w:t>
      </w:r>
      <w:r>
        <w:rPr>
          <w:rFonts w:hint="eastAsia" w:eastAsia="楷体_GB2312"/>
          <w:sz w:val="32"/>
          <w:szCs w:val="32"/>
          <w:lang w:val="en-US" w:eastAsia="zh-CN"/>
        </w:rPr>
        <w:t>4</w:t>
      </w:r>
      <w:r>
        <w:rPr>
          <w:rFonts w:eastAsia="楷体_GB2312"/>
          <w:sz w:val="32"/>
          <w:szCs w:val="32"/>
        </w:rPr>
        <w:t>月</w:t>
      </w:r>
      <w:r>
        <w:rPr>
          <w:rFonts w:hint="eastAsia" w:eastAsia="楷体_GB2312"/>
          <w:sz w:val="32"/>
          <w:szCs w:val="32"/>
          <w:lang w:val="en-US" w:eastAsia="zh-CN"/>
        </w:rPr>
        <w:t>30</w:t>
      </w:r>
      <w:r>
        <w:rPr>
          <w:rFonts w:eastAsia="楷体_GB2312"/>
          <w:sz w:val="32"/>
          <w:szCs w:val="32"/>
        </w:rPr>
        <w:t>日</w:t>
      </w:r>
    </w:p>
    <w:p w14:paraId="460EAB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sectPr>
          <w:footerReference r:id="rId3" w:type="default"/>
          <w:pgSz w:w="11906" w:h="16838"/>
          <w:pgMar w:top="1701" w:right="1417" w:bottom="1417" w:left="1701" w:header="851" w:footer="992" w:gutter="0"/>
          <w:pgNumType w:fmt="decimal" w:start="1"/>
          <w:cols w:space="425" w:num="1"/>
          <w:docGrid w:type="lines" w:linePitch="312" w:charSpace="0"/>
        </w:sectPr>
      </w:pPr>
    </w:p>
    <w:p w14:paraId="66AE203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部门（单位）基本情况</w:t>
      </w:r>
    </w:p>
    <w:p w14:paraId="60672A8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（一）部门职能职责</w:t>
      </w:r>
    </w:p>
    <w:p w14:paraId="3B80A60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永州市工业和信息化局承担全市工业和信息化的宏观管理职责。主要负责全市工业经济的日常运行与调度；指导、协调和服务工业企业，协调减轻企业负担；推进信息化和工业化融合；组织工业企业实施技术改造；承担市委军民融合发展委员会办公室具体工作；承担全市园区管理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承担全市无线电管理工作。</w:t>
      </w:r>
    </w:p>
    <w:p w14:paraId="3FCE9C0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（二）机构设置情况</w:t>
      </w:r>
    </w:p>
    <w:p w14:paraId="4E3E331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末，我局内设科室19个，所属事业单位3个。内设科室分别是办公室、综合法规科、人事科、电子信息产业科、信息化推进科、经济运行监测科、投资规划科、工业园区管理科、消费品工业科、装备工业科、科技和人工智能科、节能与综合利用科、军民融合产业科、中小企业和非公经济管理服务科、能源运行科、产业政策和合作交流科、原材料工业科、市委军民融合发展委员会办公室秘书科、无线电管理科，另设机关党委。所属事业单位分别是永州市工业企业改制服务办公室、永州市民营经济发展服务中心、永州市无线电监测站。</w:t>
      </w:r>
    </w:p>
    <w:p w14:paraId="44B6D1E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人员编制情况</w:t>
      </w:r>
    </w:p>
    <w:p w14:paraId="6DA4579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年末，单位</w:t>
      </w:r>
      <w:r>
        <w:rPr>
          <w:rFonts w:hint="eastAsia" w:ascii="仿宋_GB2312" w:hAnsi="仿宋_GB2312" w:eastAsia="仿宋_GB2312" w:cs="仿宋_GB2312"/>
          <w:sz w:val="32"/>
          <w:szCs w:val="32"/>
          <w:lang w:val="en-US" w:eastAsia="zh-CN"/>
        </w:rPr>
        <w:t>纳入部门整体绩效管理的编制64</w:t>
      </w:r>
      <w:r>
        <w:rPr>
          <w:rFonts w:hint="eastAsia" w:ascii="仿宋_GB2312" w:hAnsi="仿宋_GB2312" w:eastAsia="仿宋_GB2312" w:cs="仿宋_GB2312"/>
          <w:sz w:val="32"/>
          <w:szCs w:val="32"/>
        </w:rPr>
        <w:t>人，其中：行政编制</w:t>
      </w:r>
      <w:r>
        <w:rPr>
          <w:rFonts w:hint="eastAsia" w:ascii="仿宋_GB2312" w:hAnsi="仿宋_GB2312" w:eastAsia="仿宋_GB2312" w:cs="仿宋_GB2312"/>
          <w:sz w:val="32"/>
          <w:szCs w:val="32"/>
          <w:lang w:val="en-US" w:eastAsia="zh-CN"/>
        </w:rPr>
        <w:t>42</w:t>
      </w:r>
      <w:r>
        <w:rPr>
          <w:rFonts w:hint="eastAsia" w:ascii="仿宋_GB2312" w:hAnsi="仿宋_GB2312" w:eastAsia="仿宋_GB2312" w:cs="仿宋_GB2312"/>
          <w:sz w:val="32"/>
          <w:szCs w:val="32"/>
        </w:rPr>
        <w:t>人，工勤编制1人，全额拨款事业单位编制</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人。年末实有在职人员</w:t>
      </w:r>
      <w:r>
        <w:rPr>
          <w:rFonts w:hint="eastAsia" w:ascii="仿宋_GB2312" w:hAnsi="仿宋_GB2312" w:eastAsia="仿宋_GB2312" w:cs="仿宋_GB2312"/>
          <w:sz w:val="32"/>
          <w:szCs w:val="32"/>
          <w:lang w:val="en-US" w:eastAsia="zh-CN"/>
        </w:rPr>
        <w:t>63</w:t>
      </w:r>
      <w:r>
        <w:rPr>
          <w:rFonts w:hint="eastAsia" w:ascii="仿宋_GB2312" w:hAnsi="仿宋_GB2312" w:eastAsia="仿宋_GB2312" w:cs="仿宋_GB2312"/>
          <w:sz w:val="32"/>
          <w:szCs w:val="32"/>
        </w:rPr>
        <w:t>人，退休人员</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人。</w:t>
      </w:r>
    </w:p>
    <w:p w14:paraId="46C275F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二、一般公共预算支出情况</w:t>
      </w:r>
    </w:p>
    <w:p w14:paraId="37BF15A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年度，一般公共预算财政拨款年初预算</w:t>
      </w:r>
      <w:r>
        <w:rPr>
          <w:rFonts w:hint="eastAsia" w:ascii="仿宋_GB2312" w:hAnsi="仿宋_GB2312" w:eastAsia="仿宋_GB2312" w:cs="仿宋_GB2312"/>
          <w:sz w:val="32"/>
          <w:szCs w:val="32"/>
          <w:lang w:val="en-US" w:eastAsia="zh-CN"/>
        </w:rPr>
        <w:t>1104.34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全年预算数2659.91</w:t>
      </w:r>
      <w:r>
        <w:rPr>
          <w:rFonts w:hint="eastAsia" w:ascii="仿宋_GB2312" w:hAnsi="仿宋_GB2312" w:eastAsia="仿宋_GB2312" w:cs="仿宋_GB2312"/>
          <w:sz w:val="32"/>
          <w:szCs w:val="32"/>
        </w:rPr>
        <w:t>万元，预算执行</w:t>
      </w:r>
      <w:r>
        <w:rPr>
          <w:rFonts w:hint="eastAsia" w:ascii="仿宋_GB2312" w:hAnsi="仿宋_GB2312" w:eastAsia="仿宋_GB2312" w:cs="仿宋_GB2312"/>
          <w:sz w:val="32"/>
          <w:szCs w:val="32"/>
          <w:lang w:val="en-US" w:eastAsia="zh-CN"/>
        </w:rPr>
        <w:t>2659.91</w:t>
      </w:r>
      <w:r>
        <w:rPr>
          <w:rFonts w:hint="eastAsia" w:ascii="仿宋_GB2312" w:hAnsi="仿宋_GB2312" w:eastAsia="仿宋_GB2312" w:cs="仿宋_GB2312"/>
          <w:sz w:val="32"/>
          <w:szCs w:val="32"/>
        </w:rPr>
        <w:t>万元，预算执行率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14:paraId="0A60F14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（一）基本支出情况</w:t>
      </w:r>
    </w:p>
    <w:p w14:paraId="1421510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年度，基本支出年初预算</w:t>
      </w:r>
      <w:r>
        <w:rPr>
          <w:rFonts w:hint="eastAsia" w:ascii="仿宋_GB2312" w:hAnsi="仿宋_GB2312" w:eastAsia="仿宋_GB2312" w:cs="仿宋_GB2312"/>
          <w:sz w:val="32"/>
          <w:szCs w:val="32"/>
          <w:lang w:val="en-US" w:eastAsia="zh-CN"/>
        </w:rPr>
        <w:t>1068.34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全年预算数1394.73</w:t>
      </w:r>
      <w:r>
        <w:rPr>
          <w:rFonts w:hint="eastAsia" w:ascii="仿宋_GB2312" w:hAnsi="仿宋_GB2312" w:eastAsia="仿宋_GB2312" w:cs="仿宋_GB2312"/>
          <w:sz w:val="32"/>
          <w:szCs w:val="32"/>
        </w:rPr>
        <w:t>万元，预算执行</w:t>
      </w:r>
      <w:r>
        <w:rPr>
          <w:rFonts w:hint="eastAsia" w:ascii="仿宋_GB2312" w:hAnsi="仿宋_GB2312" w:eastAsia="仿宋_GB2312" w:cs="仿宋_GB2312"/>
          <w:sz w:val="32"/>
          <w:szCs w:val="32"/>
          <w:lang w:val="en-US" w:eastAsia="zh-CN"/>
        </w:rPr>
        <w:t>1394.73</w:t>
      </w:r>
      <w:r>
        <w:rPr>
          <w:rFonts w:hint="eastAsia" w:ascii="仿宋_GB2312" w:hAnsi="仿宋_GB2312" w:eastAsia="仿宋_GB2312" w:cs="仿宋_GB2312"/>
          <w:sz w:val="32"/>
          <w:szCs w:val="32"/>
        </w:rPr>
        <w:t>万元，预算执行率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%。基本支出</w:t>
      </w:r>
      <w:r>
        <w:rPr>
          <w:rFonts w:hint="eastAsia" w:ascii="仿宋_GB2312" w:hAnsi="仿宋_GB2312" w:eastAsia="仿宋_GB2312" w:cs="仿宋_GB2312"/>
          <w:sz w:val="32"/>
          <w:szCs w:val="32"/>
          <w:lang w:val="en-US" w:eastAsia="zh-CN"/>
        </w:rPr>
        <w:t>1394.73</w:t>
      </w:r>
      <w:r>
        <w:rPr>
          <w:rFonts w:hint="eastAsia" w:ascii="仿宋_GB2312" w:hAnsi="仿宋_GB2312" w:eastAsia="仿宋_GB2312" w:cs="仿宋_GB2312"/>
          <w:sz w:val="32"/>
          <w:szCs w:val="32"/>
        </w:rPr>
        <w:t>万元主要用于维持部门运转的人员经费和日常公用经费支出，其中：人员经费支出</w:t>
      </w:r>
      <w:r>
        <w:rPr>
          <w:rFonts w:hint="eastAsia" w:ascii="仿宋_GB2312" w:hAnsi="仿宋_GB2312" w:eastAsia="仿宋_GB2312" w:cs="仿宋_GB2312"/>
          <w:sz w:val="32"/>
          <w:szCs w:val="32"/>
          <w:lang w:val="en-US" w:eastAsia="zh-CN"/>
        </w:rPr>
        <w:t>1245.13</w:t>
      </w:r>
      <w:r>
        <w:rPr>
          <w:rFonts w:hint="eastAsia" w:ascii="仿宋_GB2312" w:hAnsi="仿宋_GB2312" w:eastAsia="仿宋_GB2312" w:cs="仿宋_GB2312"/>
          <w:sz w:val="32"/>
          <w:szCs w:val="32"/>
        </w:rPr>
        <w:t>万元，公用经费支出</w:t>
      </w:r>
      <w:r>
        <w:rPr>
          <w:rFonts w:hint="eastAsia" w:ascii="仿宋_GB2312" w:hAnsi="仿宋_GB2312" w:eastAsia="仿宋_GB2312" w:cs="仿宋_GB2312"/>
          <w:sz w:val="32"/>
          <w:szCs w:val="32"/>
          <w:lang w:val="en-US" w:eastAsia="zh-CN"/>
        </w:rPr>
        <w:t>149.6</w:t>
      </w:r>
      <w:r>
        <w:rPr>
          <w:rFonts w:hint="eastAsia" w:ascii="仿宋_GB2312" w:hAnsi="仿宋_GB2312" w:eastAsia="仿宋_GB2312" w:cs="仿宋_GB2312"/>
          <w:sz w:val="32"/>
          <w:szCs w:val="32"/>
        </w:rPr>
        <w:t>万元。</w:t>
      </w:r>
    </w:p>
    <w:p w14:paraId="27C2765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（二）项目支出情况</w:t>
      </w:r>
    </w:p>
    <w:p w14:paraId="6004FCD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资金安排情况</w:t>
      </w:r>
    </w:p>
    <w:p w14:paraId="423CF74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年度，项目支出年初预算</w:t>
      </w: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全年预算数1265.18</w:t>
      </w:r>
      <w:r>
        <w:rPr>
          <w:rFonts w:hint="eastAsia" w:ascii="仿宋_GB2312" w:hAnsi="仿宋_GB2312" w:eastAsia="仿宋_GB2312" w:cs="仿宋_GB2312"/>
          <w:sz w:val="32"/>
          <w:szCs w:val="32"/>
        </w:rPr>
        <w:t>万元，预算执行</w:t>
      </w:r>
      <w:r>
        <w:rPr>
          <w:rFonts w:hint="eastAsia" w:ascii="仿宋_GB2312" w:hAnsi="仿宋_GB2312" w:eastAsia="仿宋_GB2312" w:cs="仿宋_GB2312"/>
          <w:sz w:val="32"/>
          <w:szCs w:val="32"/>
          <w:lang w:val="en-US" w:eastAsia="zh-CN"/>
        </w:rPr>
        <w:t>1265.18</w:t>
      </w:r>
      <w:r>
        <w:rPr>
          <w:rFonts w:hint="eastAsia" w:ascii="仿宋_GB2312" w:hAnsi="仿宋_GB2312" w:eastAsia="仿宋_GB2312" w:cs="仿宋_GB2312"/>
          <w:sz w:val="32"/>
          <w:szCs w:val="32"/>
        </w:rPr>
        <w:t>万元，预算执行率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按照专款专用原则主要用于市本级“小巨人”企业奖励、新增规模工业企业培育、全市</w:t>
      </w:r>
      <w:r>
        <w:rPr>
          <w:rFonts w:hint="eastAsia" w:ascii="仿宋_GB2312" w:hAnsi="仿宋_GB2312" w:eastAsia="仿宋_GB2312" w:cs="仿宋_GB2312"/>
          <w:sz w:val="32"/>
          <w:szCs w:val="32"/>
        </w:rPr>
        <w:t>工业发展、</w:t>
      </w:r>
      <w:r>
        <w:rPr>
          <w:rFonts w:hint="eastAsia" w:ascii="仿宋_GB2312" w:hAnsi="仿宋_GB2312" w:eastAsia="仿宋_GB2312" w:cs="仿宋_GB2312"/>
          <w:sz w:val="32"/>
          <w:szCs w:val="32"/>
          <w:lang w:val="en-US" w:eastAsia="zh-CN"/>
        </w:rPr>
        <w:t>保障自收自支人员工资福利待遇等</w:t>
      </w:r>
      <w:r>
        <w:rPr>
          <w:rFonts w:hint="eastAsia" w:ascii="仿宋_GB2312" w:hAnsi="仿宋_GB2312" w:eastAsia="仿宋_GB2312" w:cs="仿宋_GB2312"/>
          <w:sz w:val="32"/>
          <w:szCs w:val="32"/>
        </w:rPr>
        <w:t>。</w:t>
      </w:r>
    </w:p>
    <w:p w14:paraId="612D2B6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2.资金使用情况</w:t>
      </w:r>
    </w:p>
    <w:p w14:paraId="4EA1DF7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（1）2021年度真抓实干成效明显地区奖励</w:t>
      </w:r>
    </w:p>
    <w:p w14:paraId="74FB0C5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度，</w:t>
      </w:r>
      <w:r>
        <w:rPr>
          <w:rFonts w:hint="eastAsia" w:ascii="仿宋_GB2312" w:hAnsi="仿宋_GB2312" w:eastAsia="仿宋_GB2312" w:cs="仿宋_GB2312"/>
          <w:sz w:val="32"/>
          <w:szCs w:val="32"/>
        </w:rPr>
        <w:t>2021年度真抓实干成效明显地区奖励</w:t>
      </w:r>
      <w:r>
        <w:rPr>
          <w:rFonts w:hint="eastAsia" w:ascii="仿宋_GB2312" w:hAnsi="仿宋_GB2312" w:eastAsia="仿宋_GB2312" w:cs="仿宋_GB2312"/>
          <w:sz w:val="32"/>
          <w:szCs w:val="32"/>
          <w:lang w:val="en-US" w:eastAsia="zh-CN"/>
        </w:rPr>
        <w:t>年初预算0万元，调整预算80万元，预算执行80万元，预算执行率100%。主要用于保障中小企业账款清欠</w:t>
      </w:r>
      <w:r>
        <w:rPr>
          <w:rFonts w:hint="eastAsia" w:ascii="仿宋_GB2312" w:hAnsi="仿宋_GB2312" w:eastAsia="仿宋_GB2312" w:cs="仿宋_GB2312"/>
          <w:sz w:val="32"/>
          <w:szCs w:val="32"/>
        </w:rPr>
        <w:t>等各项支出，包括办公费、印刷费、邮电费、培训费、会议费、差旅费、租赁费、委托业务费等。累计清理拖欠民营企业中小企业账款7514.23万元，清偿率、问题线索化解率居全省前列。</w:t>
      </w:r>
    </w:p>
    <w:p w14:paraId="01C5161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（2）新增规模工业企业培育发展奖励资金（市本级）</w:t>
      </w:r>
    </w:p>
    <w:p w14:paraId="410B72D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val="en-US" w:eastAsia="zh-CN"/>
        </w:rPr>
        <w:t>新增规模工业企业培育发展奖励资金（市本级）</w:t>
      </w:r>
      <w:r>
        <w:rPr>
          <w:rFonts w:hint="eastAsia" w:ascii="仿宋_GB2312" w:hAnsi="仿宋_GB2312" w:eastAsia="仿宋_GB2312" w:cs="仿宋_GB2312"/>
          <w:sz w:val="32"/>
          <w:szCs w:val="32"/>
        </w:rPr>
        <w:t>专项资金年初预算0万元，调整预算</w:t>
      </w:r>
      <w:r>
        <w:rPr>
          <w:rFonts w:hint="eastAsia" w:ascii="仿宋_GB2312" w:hAnsi="仿宋_GB2312" w:eastAsia="仿宋_GB2312" w:cs="仿宋_GB2312"/>
          <w:sz w:val="32"/>
          <w:szCs w:val="32"/>
          <w:lang w:val="en-US" w:eastAsia="zh-CN"/>
        </w:rPr>
        <w:t>61.25</w:t>
      </w:r>
      <w:r>
        <w:rPr>
          <w:rFonts w:hint="eastAsia" w:ascii="仿宋_GB2312" w:hAnsi="仿宋_GB2312" w:eastAsia="仿宋_GB2312" w:cs="仿宋_GB2312"/>
          <w:sz w:val="32"/>
          <w:szCs w:val="32"/>
        </w:rPr>
        <w:t>万元，预算执行</w:t>
      </w:r>
      <w:r>
        <w:rPr>
          <w:rFonts w:hint="eastAsia" w:ascii="仿宋_GB2312" w:hAnsi="仿宋_GB2312" w:eastAsia="仿宋_GB2312" w:cs="仿宋_GB2312"/>
          <w:sz w:val="32"/>
          <w:szCs w:val="32"/>
          <w:lang w:val="en-US" w:eastAsia="zh-CN"/>
        </w:rPr>
        <w:t>61.25</w:t>
      </w:r>
      <w:r>
        <w:rPr>
          <w:rFonts w:hint="eastAsia" w:ascii="仿宋_GB2312" w:hAnsi="仿宋_GB2312" w:eastAsia="仿宋_GB2312" w:cs="仿宋_GB2312"/>
          <w:sz w:val="32"/>
          <w:szCs w:val="32"/>
        </w:rPr>
        <w:t>万元，预算执行率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lang w:val="en-US" w:eastAsia="zh-CN" w:bidi="ar"/>
        </w:rPr>
        <w:t>根据《永州市贯彻落实&lt;深入开展新增规模以上工业企业行动实施方案&gt;的具体举措》（永政办发</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kern w:val="0"/>
          <w:sz w:val="32"/>
          <w:szCs w:val="32"/>
          <w:lang w:val="en-US" w:eastAsia="zh-CN" w:bidi="ar"/>
        </w:rPr>
        <w:t>4号）</w:t>
      </w:r>
      <w:r>
        <w:rPr>
          <w:rFonts w:hint="eastAsia" w:ascii="仿宋_GB2312" w:hAnsi="仿宋_GB2312" w:eastAsia="仿宋_GB2312" w:cs="仿宋_GB2312"/>
          <w:b w:val="0"/>
          <w:bCs w:val="0"/>
          <w:kern w:val="0"/>
          <w:sz w:val="32"/>
          <w:szCs w:val="32"/>
          <w:lang w:val="en-US" w:eastAsia="zh-CN" w:bidi="ar"/>
        </w:rPr>
        <w:t>文</w:t>
      </w:r>
      <w:r>
        <w:rPr>
          <w:rFonts w:hint="eastAsia" w:ascii="仿宋_GB2312" w:hAnsi="仿宋_GB2312" w:eastAsia="仿宋_GB2312" w:cs="仿宋_GB2312"/>
          <w:kern w:val="0"/>
          <w:sz w:val="32"/>
          <w:szCs w:val="32"/>
          <w:lang w:val="en-US" w:eastAsia="zh-CN" w:bidi="ar"/>
        </w:rPr>
        <w:t>件精神（</w:t>
      </w:r>
      <w:r>
        <w:rPr>
          <w:rFonts w:hint="eastAsia" w:ascii="Calibri" w:hAnsi="Calibri" w:eastAsia="仿宋" w:cs="Times New Roman"/>
          <w:sz w:val="32"/>
          <w:szCs w:val="32"/>
          <w:lang w:val="en-US" w:eastAsia="zh-CN"/>
        </w:rPr>
        <w:t>由受益财政根据工作要求安排规模以上工业企业培育专项资金，对新入统规工企业根据生产规模、质量效益，给予5-10万元一次性奖励</w:t>
      </w:r>
      <w:r>
        <w:rPr>
          <w:rFonts w:hint="eastAsia" w:ascii="仿宋_GB2312" w:hAnsi="仿宋_GB2312" w:eastAsia="仿宋_GB2312" w:cs="仿宋_GB2312"/>
          <w:kern w:val="0"/>
          <w:sz w:val="32"/>
          <w:szCs w:val="32"/>
          <w:lang w:val="en-US" w:eastAsia="zh-CN" w:bidi="ar"/>
        </w:rPr>
        <w:t>）和市政府第26次常务会议纪要精神</w:t>
      </w:r>
      <w:r>
        <w:rPr>
          <w:rFonts w:hint="eastAsia" w:ascii="仿宋_GB2312" w:hAnsi="仿宋_GB2312" w:eastAsia="仿宋_GB2312" w:cs="仿宋_GB2312"/>
          <w:kern w:val="0"/>
          <w:sz w:val="32"/>
          <w:szCs w:val="32"/>
          <w:lang w:val="en" w:eastAsia="zh-CN" w:bidi="ar"/>
        </w:rPr>
        <w:t>。</w:t>
      </w:r>
      <w:r>
        <w:rPr>
          <w:rFonts w:hint="eastAsia" w:ascii="仿宋_GB2312" w:hAnsi="仿宋_GB2312" w:eastAsia="仿宋_GB2312" w:cs="仿宋_GB2312"/>
          <w:sz w:val="32"/>
          <w:szCs w:val="32"/>
        </w:rPr>
        <w:t>主要用于</w:t>
      </w:r>
      <w:r>
        <w:rPr>
          <w:rFonts w:hint="eastAsia" w:ascii="仿宋_GB2312" w:hAnsi="仿宋_GB2312" w:eastAsia="仿宋_GB2312" w:cs="仿宋_GB2312"/>
          <w:sz w:val="32"/>
          <w:szCs w:val="32"/>
          <w:lang w:val="en-US" w:eastAsia="zh-CN"/>
        </w:rPr>
        <w:t>奖励2022年度市本级新增规模工业企业奖励。</w:t>
      </w:r>
    </w:p>
    <w:p w14:paraId="17433E38">
      <w:pPr>
        <w:pStyle w:val="2"/>
        <w:keepNext w:val="0"/>
        <w:keepLines w:val="0"/>
        <w:pageBreakBefore w:val="0"/>
        <w:widowControl w:val="0"/>
        <w:kinsoku/>
        <w:wordWrap/>
        <w:overflowPunct/>
        <w:topLinePunct w:val="0"/>
        <w:autoSpaceDE/>
        <w:autoSpaceDN/>
        <w:bidi w:val="0"/>
        <w:adjustRightInd/>
        <w:spacing w:line="560" w:lineRule="exact"/>
        <w:ind w:left="0" w:leftChars="0" w:firstLine="640" w:firstLineChars="200"/>
        <w:rPr>
          <w:rFonts w:hint="eastAsia"/>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sz w:val="32"/>
          <w:szCs w:val="32"/>
          <w:lang w:val="en-US" w:eastAsia="zh-CN"/>
        </w:rPr>
        <w:t>2022年度真抓实干奖励</w:t>
      </w:r>
    </w:p>
    <w:p w14:paraId="1E6048F3">
      <w:pPr>
        <w:pStyle w:val="2"/>
        <w:keepNext w:val="0"/>
        <w:keepLines w:val="0"/>
        <w:pageBreakBefore w:val="0"/>
        <w:widowControl w:val="0"/>
        <w:kinsoku/>
        <w:wordWrap/>
        <w:overflowPunct/>
        <w:topLinePunct w:val="0"/>
        <w:autoSpaceDE/>
        <w:autoSpaceDN/>
        <w:bidi w:val="0"/>
        <w:adjustRightInd/>
        <w:spacing w:line="560" w:lineRule="exact"/>
        <w:ind w:left="0" w:leftChars="0" w:firstLine="640" w:firstLineChars="200"/>
        <w:rPr>
          <w:rFonts w:hint="eastAsia" w:ascii="Times New Roman" w:hAnsi="Times New Roman" w:eastAsia="黑体" w:cs="Times New Roman"/>
          <w:b w:val="0"/>
          <w:i w:val="0"/>
          <w:caps w:val="0"/>
          <w:color w:val="auto"/>
          <w:spacing w:val="0"/>
          <w:w w:val="100"/>
          <w:kern w:val="0"/>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w:t>
      </w:r>
      <w:r>
        <w:rPr>
          <w:rFonts w:hint="eastAsia"/>
          <w:sz w:val="32"/>
          <w:szCs w:val="32"/>
          <w:lang w:val="en-US" w:eastAsia="zh-CN"/>
        </w:rPr>
        <w:t>2022年度真抓实干奖励资金年</w:t>
      </w:r>
      <w:r>
        <w:rPr>
          <w:rFonts w:hint="eastAsia" w:ascii="仿宋_GB2312" w:hAnsi="仿宋_GB2312" w:eastAsia="仿宋_GB2312" w:cs="仿宋_GB2312"/>
          <w:sz w:val="32"/>
          <w:szCs w:val="32"/>
          <w:lang w:val="en-US" w:eastAsia="zh-CN"/>
        </w:rPr>
        <w:t>初预算0万元，调整预算</w:t>
      </w:r>
      <w:r>
        <w:rPr>
          <w:rFonts w:hint="eastAsia" w:hAnsi="仿宋_GB2312" w:cs="仿宋_GB2312"/>
          <w:sz w:val="32"/>
          <w:szCs w:val="32"/>
          <w:lang w:val="en-US" w:eastAsia="zh-CN"/>
        </w:rPr>
        <w:t>100</w:t>
      </w:r>
      <w:r>
        <w:rPr>
          <w:rFonts w:hint="eastAsia" w:ascii="仿宋_GB2312" w:hAnsi="仿宋_GB2312" w:eastAsia="仿宋_GB2312" w:cs="仿宋_GB2312"/>
          <w:sz w:val="32"/>
          <w:szCs w:val="32"/>
          <w:lang w:val="en-US" w:eastAsia="zh-CN"/>
        </w:rPr>
        <w:t>万元，预算执行</w:t>
      </w:r>
      <w:r>
        <w:rPr>
          <w:rFonts w:hint="eastAsia" w:hAnsi="仿宋_GB2312" w:cs="仿宋_GB2312"/>
          <w:sz w:val="32"/>
          <w:szCs w:val="32"/>
          <w:lang w:val="en-US" w:eastAsia="zh-CN"/>
        </w:rPr>
        <w:t>60.87</w:t>
      </w:r>
      <w:r>
        <w:rPr>
          <w:rFonts w:hint="eastAsia" w:ascii="仿宋_GB2312" w:hAnsi="仿宋_GB2312" w:eastAsia="仿宋_GB2312" w:cs="仿宋_GB2312"/>
          <w:sz w:val="32"/>
          <w:szCs w:val="32"/>
          <w:lang w:val="en-US" w:eastAsia="zh-CN"/>
        </w:rPr>
        <w:t>万元，预算执行率</w:t>
      </w:r>
      <w:r>
        <w:rPr>
          <w:rFonts w:hint="eastAsia" w:hAnsi="仿宋_GB2312" w:cs="仿宋_GB2312"/>
          <w:sz w:val="32"/>
          <w:szCs w:val="32"/>
          <w:lang w:val="en-US" w:eastAsia="zh-CN"/>
        </w:rPr>
        <w:t>60.87</w:t>
      </w:r>
      <w:r>
        <w:rPr>
          <w:rFonts w:hint="eastAsia" w:ascii="仿宋_GB2312" w:hAnsi="仿宋_GB2312" w:eastAsia="仿宋_GB2312" w:cs="仿宋_GB2312"/>
          <w:sz w:val="32"/>
          <w:szCs w:val="32"/>
          <w:lang w:val="en-US" w:eastAsia="zh-CN"/>
        </w:rPr>
        <w:t>%。</w:t>
      </w:r>
      <w:r>
        <w:rPr>
          <w:rFonts w:hint="eastAsia" w:hAnsi="仿宋_GB2312" w:cs="仿宋_GB2312"/>
          <w:sz w:val="32"/>
          <w:szCs w:val="32"/>
          <w:lang w:val="en-US" w:eastAsia="zh-CN"/>
        </w:rPr>
        <w:t>预算执行率不高的主要原因系资金年底才下达。</w:t>
      </w:r>
      <w:r>
        <w:rPr>
          <w:rFonts w:hint="eastAsia" w:ascii="仿宋_GB2312" w:hAnsi="仿宋_GB2312" w:eastAsia="仿宋_GB2312" w:cs="仿宋_GB2312"/>
          <w:sz w:val="32"/>
          <w:szCs w:val="32"/>
          <w:lang w:val="en-US" w:eastAsia="zh-CN"/>
        </w:rPr>
        <w:t>主要用于保障推动全市工业高质量发展</w:t>
      </w:r>
      <w:r>
        <w:rPr>
          <w:rFonts w:hint="eastAsia" w:ascii="仿宋_GB2312" w:hAnsi="仿宋_GB2312" w:eastAsia="仿宋_GB2312" w:cs="仿宋_GB2312"/>
          <w:sz w:val="32"/>
          <w:szCs w:val="32"/>
        </w:rPr>
        <w:t>等各项支出，包括办公费、印刷费、邮电费、培训费、会议费、差旅费、租赁费、委托业务费等。</w:t>
      </w:r>
      <w:r>
        <w:rPr>
          <w:rFonts w:hint="eastAsia" w:eastAsia="仿宋_GB2312" w:cs="Times New Roman"/>
          <w:b w:val="0"/>
          <w:bCs w:val="0"/>
          <w:i w:val="0"/>
          <w:caps w:val="0"/>
          <w:color w:val="auto"/>
          <w:spacing w:val="0"/>
          <w:w w:val="100"/>
          <w:sz w:val="32"/>
          <w:szCs w:val="32"/>
          <w:lang w:val="en-US" w:eastAsia="zh-CN"/>
        </w:rPr>
        <w:t>一</w:t>
      </w:r>
      <w:r>
        <w:rPr>
          <w:rFonts w:hint="eastAsia" w:ascii="Times New Roman" w:hAnsi="Times New Roman" w:eastAsia="仿宋_GB2312" w:cs="Times New Roman"/>
          <w:b w:val="0"/>
          <w:bCs w:val="0"/>
          <w:i w:val="0"/>
          <w:caps w:val="0"/>
          <w:color w:val="auto"/>
          <w:spacing w:val="0"/>
          <w:w w:val="100"/>
          <w:sz w:val="32"/>
          <w:szCs w:val="32"/>
          <w:lang w:val="en-US" w:eastAsia="zh-CN"/>
        </w:rPr>
        <w:t>年来，</w:t>
      </w:r>
      <w:r>
        <w:rPr>
          <w:rFonts w:hint="default" w:ascii="Times New Roman" w:hAnsi="Times New Roman" w:eastAsia="仿宋_GB2312" w:cs="Times New Roman"/>
          <w:b w:val="0"/>
          <w:bCs w:val="0"/>
          <w:i w:val="0"/>
          <w:caps w:val="0"/>
          <w:color w:val="auto"/>
          <w:spacing w:val="0"/>
          <w:w w:val="100"/>
          <w:sz w:val="32"/>
          <w:szCs w:val="32"/>
          <w:lang w:val="en-US" w:eastAsia="zh-CN"/>
        </w:rPr>
        <w:t>在</w:t>
      </w:r>
      <w:r>
        <w:rPr>
          <w:rFonts w:hint="eastAsia" w:ascii="Times New Roman" w:hAnsi="Times New Roman" w:eastAsia="仿宋_GB2312" w:cs="Times New Roman"/>
          <w:b w:val="0"/>
          <w:bCs w:val="0"/>
          <w:i w:val="0"/>
          <w:caps w:val="0"/>
          <w:color w:val="auto"/>
          <w:spacing w:val="0"/>
          <w:w w:val="100"/>
          <w:sz w:val="32"/>
          <w:szCs w:val="32"/>
          <w:lang w:val="en-US" w:eastAsia="zh-CN"/>
        </w:rPr>
        <w:t>市委市政府的坚强领导下，</w:t>
      </w:r>
      <w:r>
        <w:rPr>
          <w:rFonts w:hint="eastAsia" w:eastAsia="仿宋_GB2312" w:cs="Times New Roman"/>
          <w:b w:val="0"/>
          <w:bCs w:val="0"/>
          <w:i w:val="0"/>
          <w:caps w:val="0"/>
          <w:color w:val="auto"/>
          <w:spacing w:val="0"/>
          <w:w w:val="100"/>
          <w:sz w:val="32"/>
          <w:szCs w:val="32"/>
          <w:lang w:val="en-US" w:eastAsia="zh-CN"/>
        </w:rPr>
        <w:t>全</w:t>
      </w:r>
      <w:r>
        <w:rPr>
          <w:rFonts w:hint="eastAsia" w:ascii="Times New Roman" w:hAnsi="Times New Roman" w:eastAsia="仿宋_GB2312" w:cs="Times New Roman"/>
          <w:b w:val="0"/>
          <w:bCs w:val="0"/>
          <w:i w:val="0"/>
          <w:caps w:val="0"/>
          <w:color w:val="auto"/>
          <w:spacing w:val="0"/>
          <w:w w:val="100"/>
          <w:sz w:val="32"/>
          <w:szCs w:val="32"/>
          <w:lang w:val="en-US" w:eastAsia="zh-CN"/>
        </w:rPr>
        <w:t>市工信系统</w:t>
      </w:r>
      <w:r>
        <w:rPr>
          <w:rFonts w:hint="eastAsia" w:eastAsia="仿宋_GB2312" w:cs="Times New Roman"/>
          <w:sz w:val="32"/>
          <w:szCs w:val="32"/>
          <w:lang w:val="en-US" w:eastAsia="zh-CN"/>
        </w:rPr>
        <w:t>以习近平新时代中国特色社会主义思想为指导，</w:t>
      </w:r>
      <w:r>
        <w:rPr>
          <w:rFonts w:hint="eastAsia" w:ascii="Times New Roman" w:hAnsi="Times New Roman" w:eastAsia="仿宋_GB2312" w:cs="Times New Roman"/>
          <w:sz w:val="32"/>
          <w:szCs w:val="32"/>
          <w:lang w:val="en-US" w:eastAsia="zh-CN"/>
        </w:rPr>
        <w:t>认真落实党中央、国务院决策部署和省委省政府、市委市政府工作安排，</w:t>
      </w:r>
      <w:r>
        <w:rPr>
          <w:rFonts w:hint="eastAsia" w:eastAsia="仿宋_GB2312" w:cs="Times New Roman"/>
          <w:sz w:val="32"/>
          <w:szCs w:val="32"/>
          <w:lang w:val="en-US" w:eastAsia="zh-CN"/>
        </w:rPr>
        <w:t>扎实开展主题教育，深入开展“走找想促”活动，锚定</w:t>
      </w:r>
      <w:r>
        <w:rPr>
          <w:rFonts w:hint="eastAsia" w:ascii="Times New Roman" w:hAnsi="Times New Roman" w:eastAsia="仿宋_GB2312" w:cs="Times New Roman"/>
          <w:b w:val="0"/>
          <w:bCs w:val="0"/>
          <w:i w:val="0"/>
          <w:caps w:val="0"/>
          <w:color w:val="auto"/>
          <w:spacing w:val="0"/>
          <w:w w:val="100"/>
          <w:sz w:val="32"/>
          <w:szCs w:val="32"/>
          <w:lang w:val="en-US" w:eastAsia="zh-CN"/>
        </w:rPr>
        <w:t>“三高四新”美好蓝图，</w:t>
      </w:r>
      <w:r>
        <w:rPr>
          <w:rFonts w:hint="eastAsia" w:eastAsia="仿宋_GB2312" w:cs="Times New Roman"/>
          <w:b w:val="0"/>
          <w:bCs w:val="0"/>
          <w:i w:val="0"/>
          <w:caps w:val="0"/>
          <w:color w:val="auto"/>
          <w:spacing w:val="0"/>
          <w:w w:val="100"/>
          <w:sz w:val="32"/>
          <w:szCs w:val="32"/>
          <w:lang w:val="en-US" w:eastAsia="zh-CN"/>
        </w:rPr>
        <w:t>聚力</w:t>
      </w:r>
      <w:r>
        <w:rPr>
          <w:rFonts w:hint="eastAsia" w:ascii="Times New Roman" w:hAnsi="Times New Roman" w:eastAsia="仿宋_GB2312" w:cs="Times New Roman"/>
          <w:b w:val="0"/>
          <w:bCs w:val="0"/>
          <w:i w:val="0"/>
          <w:caps w:val="0"/>
          <w:color w:val="auto"/>
          <w:spacing w:val="0"/>
          <w:w w:val="100"/>
          <w:sz w:val="32"/>
          <w:szCs w:val="32"/>
          <w:lang w:val="en-US" w:eastAsia="zh-CN"/>
        </w:rPr>
        <w:t>打好经济增长主动仗</w:t>
      </w:r>
      <w:r>
        <w:rPr>
          <w:rFonts w:hint="eastAsia" w:eastAsia="仿宋_GB2312" w:cs="Times New Roman"/>
          <w:b w:val="0"/>
          <w:bCs w:val="0"/>
          <w:i w:val="0"/>
          <w:caps w:val="0"/>
          <w:color w:val="auto"/>
          <w:spacing w:val="0"/>
          <w:w w:val="100"/>
          <w:sz w:val="32"/>
          <w:szCs w:val="32"/>
          <w:lang w:val="en-US" w:eastAsia="zh-CN"/>
        </w:rPr>
        <w:t>等“发展六仗”</w:t>
      </w:r>
      <w:r>
        <w:rPr>
          <w:rFonts w:hint="eastAsia" w:ascii="Times New Roman" w:hAnsi="Times New Roman" w:eastAsia="仿宋_GB2312" w:cs="Times New Roman"/>
          <w:b w:val="0"/>
          <w:bCs w:val="0"/>
          <w:i w:val="0"/>
          <w:caps w:val="0"/>
          <w:color w:val="auto"/>
          <w:spacing w:val="0"/>
          <w:w w:val="100"/>
          <w:sz w:val="32"/>
          <w:szCs w:val="32"/>
          <w:lang w:val="en-US" w:eastAsia="zh-CN"/>
        </w:rPr>
        <w:t>，抓实企业、产业、产业链、产业生态“四个着力点”，全力以赴稳增长、强集群、促转型、增动能、优服务，扎实推进新型工业化，持续夯实党的建设，</w:t>
      </w:r>
      <w:r>
        <w:rPr>
          <w:rFonts w:hint="eastAsia" w:eastAsia="仿宋_GB2312" w:cs="Times New Roman"/>
          <w:b w:val="0"/>
          <w:bCs w:val="0"/>
          <w:i w:val="0"/>
          <w:caps w:val="0"/>
          <w:color w:val="auto"/>
          <w:spacing w:val="0"/>
          <w:w w:val="100"/>
          <w:sz w:val="32"/>
          <w:szCs w:val="32"/>
          <w:lang w:val="en-US" w:eastAsia="zh-CN"/>
        </w:rPr>
        <w:t>全市工业和信息化发展呈现量质齐升、加速向好局面，工业经济高质量发展迈出坚实步伐</w:t>
      </w:r>
      <w:r>
        <w:rPr>
          <w:rFonts w:hint="eastAsia" w:ascii="Times New Roman" w:hAnsi="Times New Roman" w:eastAsia="仿宋_GB2312" w:cs="Times New Roman"/>
          <w:b w:val="0"/>
          <w:bCs w:val="0"/>
          <w:i w:val="0"/>
          <w:caps w:val="0"/>
          <w:color w:val="auto"/>
          <w:spacing w:val="0"/>
          <w:w w:val="100"/>
          <w:sz w:val="32"/>
          <w:szCs w:val="32"/>
          <w:lang w:val="en-US" w:eastAsia="zh-CN"/>
        </w:rPr>
        <w:t>。集群培育、工业投资稳居全省第一方阵，全市“建设数字基础设施、推进‘智赋万企’行动”工作获省政府真抓实干督查激励，市本级、县市区（园区）“1+4”共夺得省政府真抓实干激励奖项6项、实现在全省工信领域“大满贯、全覆盖”。</w:t>
      </w:r>
    </w:p>
    <w:p w14:paraId="423A3C2C">
      <w:pPr>
        <w:pStyle w:val="3"/>
        <w:keepNext w:val="0"/>
        <w:keepLines w:val="0"/>
        <w:pageBreakBefore w:val="0"/>
        <w:widowControl w:val="0"/>
        <w:kinsoku/>
        <w:wordWrap/>
        <w:overflowPunct/>
        <w:topLinePunct w:val="0"/>
        <w:autoSpaceDE/>
        <w:autoSpaceDN/>
        <w:bidi w:val="0"/>
        <w:adjustRightInd/>
        <w:spacing w:line="560" w:lineRule="exact"/>
        <w:ind w:left="0" w:leftChars="0" w:firstLine="600" w:firstLineChars="0"/>
        <w:rPr>
          <w:rFonts w:hint="eastAsia" w:ascii="Times New Roman" w:hAnsi="Times New Roman" w:eastAsia="仿宋_GB2312" w:cs="Times New Roman"/>
          <w:b w:val="0"/>
          <w:bCs w:val="0"/>
          <w:i w:val="0"/>
          <w:caps w:val="0"/>
          <w:color w:val="auto"/>
          <w:spacing w:val="0"/>
          <w:w w:val="100"/>
          <w:kern w:val="2"/>
          <w:sz w:val="32"/>
          <w:szCs w:val="32"/>
          <w:lang w:val="en-US" w:eastAsia="zh-CN" w:bidi="ar-SA"/>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（4）2023年中央无线电管理经费</w:t>
      </w:r>
    </w:p>
    <w:p w14:paraId="00BB42D2">
      <w:pPr>
        <w:keepNext w:val="0"/>
        <w:keepLines w:val="0"/>
        <w:pageBreakBefore w:val="0"/>
        <w:widowControl w:val="0"/>
        <w:kinsoku/>
        <w:wordWrap/>
        <w:overflowPunct/>
        <w:topLinePunct w:val="0"/>
        <w:autoSpaceDE/>
        <w:autoSpaceDN/>
        <w:bidi w:val="0"/>
        <w:adjustRightInd/>
        <w:snapToGrid/>
        <w:spacing w:line="560" w:lineRule="exact"/>
        <w:ind w:left="0" w:leftChars="0" w:firstLine="640"/>
        <w:textAlignment w:val="auto"/>
        <w:rPr>
          <w:rFonts w:hint="eastAsia" w:ascii="Times New Roman" w:hAnsi="Times New Roman" w:eastAsia="仿宋_GB2312" w:cs="Times New Roman"/>
          <w:b w:val="0"/>
          <w:bCs w:val="0"/>
          <w:i w:val="0"/>
          <w:caps w:val="0"/>
          <w:color w:val="auto"/>
          <w:spacing w:val="0"/>
          <w:w w:val="100"/>
          <w:kern w:val="2"/>
          <w:sz w:val="32"/>
          <w:szCs w:val="32"/>
          <w:lang w:val="en-US" w:eastAsia="zh-CN" w:bidi="ar-SA"/>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2023年度，中央无线电管理经费年初预算0万元，调整预算128.48万元，预算执行128.48万元，预算执行率100%。主要用于无线电管理方面设备运维、专用房屋维护及无线电专项监管方面的办公费、差旅费、宣传费、培训费、劳务费、委托业务费等相关支出方面。2023年度我局积极探索新形势下无线电管理模式，认真履行职能职责，全力维护电波秩序，较好地完成了各项工作任务。在全省无线电管理年度工作会上作了典型发言，并获得了全省无线电管理工作综合评价考核第一名。在全省无线电管理机构岗位练兵技能竞赛中获得2个团体项目三等奖，1个个人项目三等奖。管理处主任获得了市国家安全人民防线建设领导小组的先进个人表彰。</w:t>
      </w:r>
    </w:p>
    <w:p w14:paraId="6F36EACB">
      <w:pPr>
        <w:pStyle w:val="3"/>
        <w:keepNext w:val="0"/>
        <w:keepLines w:val="0"/>
        <w:pageBreakBefore w:val="0"/>
        <w:widowControl w:val="0"/>
        <w:numPr>
          <w:ilvl w:val="0"/>
          <w:numId w:val="4"/>
        </w:numPr>
        <w:kinsoku/>
        <w:wordWrap/>
        <w:overflowPunct/>
        <w:topLinePunct w:val="0"/>
        <w:autoSpaceDE/>
        <w:autoSpaceDN/>
        <w:bidi w:val="0"/>
        <w:adjustRightInd/>
        <w:spacing w:line="560" w:lineRule="exact"/>
        <w:ind w:left="0" w:leftChars="0" w:firstLine="600" w:firstLineChars="0"/>
        <w:rPr>
          <w:rFonts w:hint="eastAsia" w:ascii="Times New Roman" w:hAnsi="Times New Roman" w:eastAsia="仿宋_GB2312" w:cs="Times New Roman"/>
          <w:b w:val="0"/>
          <w:bCs w:val="0"/>
          <w:i w:val="0"/>
          <w:caps w:val="0"/>
          <w:color w:val="auto"/>
          <w:spacing w:val="0"/>
          <w:w w:val="100"/>
          <w:kern w:val="2"/>
          <w:sz w:val="32"/>
          <w:szCs w:val="32"/>
          <w:lang w:val="en-US" w:eastAsia="zh-CN" w:bidi="ar-SA"/>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专精特新“小巨人”企业奖励资金</w:t>
      </w:r>
    </w:p>
    <w:p w14:paraId="5101A17A">
      <w:pPr>
        <w:pStyle w:val="3"/>
        <w:keepNext w:val="0"/>
        <w:keepLines w:val="0"/>
        <w:pageBreakBefore w:val="0"/>
        <w:widowControl w:val="0"/>
        <w:numPr>
          <w:ilvl w:val="0"/>
          <w:numId w:val="0"/>
        </w:numPr>
        <w:kinsoku/>
        <w:wordWrap/>
        <w:overflowPunct/>
        <w:topLinePunct w:val="0"/>
        <w:autoSpaceDE/>
        <w:autoSpaceDN/>
        <w:bidi w:val="0"/>
        <w:adjustRightInd/>
        <w:spacing w:line="560" w:lineRule="exact"/>
        <w:ind w:left="0" w:leftChars="0" w:firstLine="640" w:firstLineChars="200"/>
        <w:jc w:val="both"/>
        <w:rPr>
          <w:rFonts w:hint="default" w:ascii="Times New Roman" w:hAnsi="Times New Roman" w:eastAsia="仿宋_GB2312" w:cs="Times New Roman"/>
          <w:b w:val="0"/>
          <w:bCs w:val="0"/>
          <w:i w:val="0"/>
          <w:caps w:val="0"/>
          <w:color w:val="auto"/>
          <w:spacing w:val="0"/>
          <w:w w:val="100"/>
          <w:kern w:val="2"/>
          <w:sz w:val="32"/>
          <w:szCs w:val="32"/>
          <w:lang w:val="en-US" w:eastAsia="zh-CN" w:bidi="ar-SA"/>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2023年度，专精特新“小巨人”企业奖励资金年初预算0万元，调整预算767.5万元，预算执行767.5万元，预算执行率100%。主要用于对我市2022年评价认定的新增国家级、省级、市级专精特新“小巨人”企业分别奖励50万元、20万元、5万元，奖励资金市、县两级财政各承担50%。市本级奖励资金共计767.5万元。202</w:t>
      </w:r>
      <w:r>
        <w:rPr>
          <w:rFonts w:hint="eastAsia" w:eastAsia="仿宋_GB2312" w:cs="Times New Roman"/>
          <w:b w:val="0"/>
          <w:bCs w:val="0"/>
          <w:i w:val="0"/>
          <w:caps w:val="0"/>
          <w:color w:val="auto"/>
          <w:spacing w:val="0"/>
          <w:w w:val="100"/>
          <w:kern w:val="2"/>
          <w:sz w:val="32"/>
          <w:szCs w:val="32"/>
          <w:lang w:val="en-US" w:eastAsia="zh-CN" w:bidi="ar-SA"/>
        </w:rPr>
        <w:t>3</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年，我市深入中央、省、市相关决策部署，积极引导广大中小企业加大创新投入，持续走专精特新发展之路，专精特新“小巨人”企业培育加速并取得明显成效。</w:t>
      </w:r>
    </w:p>
    <w:p w14:paraId="2D1CBF5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）2023年上半年全市“五好”园区大比武暨现场观摩会议经费</w:t>
      </w:r>
    </w:p>
    <w:p w14:paraId="1DEBEB2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2023年度，</w:t>
      </w:r>
      <w:r>
        <w:rPr>
          <w:rFonts w:hint="eastAsia" w:ascii="仿宋_GB2312" w:hAnsi="仿宋_GB2312" w:eastAsia="仿宋_GB2312" w:cs="仿宋_GB2312"/>
          <w:sz w:val="32"/>
          <w:szCs w:val="32"/>
          <w:lang w:eastAsia="zh-CN"/>
        </w:rPr>
        <w:t>上半年全市“五好”园区大比武暨现场观摩会议经费</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年初预算0万元，调整预算2.89万元，预算执行2.89万元，预算执行率100%。主要用于</w:t>
      </w:r>
      <w:r>
        <w:rPr>
          <w:rFonts w:hint="eastAsia" w:ascii="仿宋_GB2312" w:hAnsi="仿宋_GB2312" w:eastAsia="仿宋_GB2312" w:cs="仿宋_GB2312"/>
          <w:sz w:val="32"/>
          <w:szCs w:val="32"/>
          <w:lang w:eastAsia="zh-CN"/>
        </w:rPr>
        <w:t>全市“五好”园区大比武暨现场观摩会议</w:t>
      </w:r>
      <w:r>
        <w:rPr>
          <w:rFonts w:hint="eastAsia" w:ascii="仿宋_GB2312" w:hAnsi="仿宋_GB2312" w:eastAsia="仿宋_GB2312" w:cs="仿宋_GB2312"/>
          <w:sz w:val="32"/>
          <w:szCs w:val="32"/>
          <w:lang w:val="en-US" w:eastAsia="zh-CN"/>
        </w:rPr>
        <w:t>费、其他交通费、印刷费等。现场观摩会</w:t>
      </w:r>
      <w:r>
        <w:rPr>
          <w:rFonts w:hint="eastAsia" w:ascii="仿宋_GB2312" w:hAnsi="Times New Roman" w:eastAsia="仿宋_GB2312"/>
          <w:sz w:val="32"/>
          <w:szCs w:val="32"/>
        </w:rPr>
        <w:t>检视</w:t>
      </w:r>
      <w:r>
        <w:rPr>
          <w:rFonts w:hint="eastAsia" w:ascii="仿宋_GB2312" w:hAnsi="Times New Roman" w:eastAsia="仿宋_GB2312"/>
          <w:sz w:val="32"/>
          <w:szCs w:val="32"/>
          <w:lang w:val="en-US" w:eastAsia="zh-CN"/>
        </w:rPr>
        <w:t>了</w:t>
      </w:r>
      <w:r>
        <w:rPr>
          <w:rStyle w:val="22"/>
          <w:rFonts w:hint="eastAsia" w:ascii="仿宋_GB2312" w:hAnsi="仿宋" w:eastAsia="仿宋_GB2312"/>
          <w:color w:val="000000"/>
          <w:sz w:val="32"/>
          <w:szCs w:val="32"/>
        </w:rPr>
        <w:t>全市创建“五好”园区暨重点产业项目推进工作成效，</w:t>
      </w:r>
      <w:r>
        <w:rPr>
          <w:rStyle w:val="22"/>
          <w:rFonts w:hint="eastAsia" w:ascii="仿宋_GB2312" w:hAnsi="仿宋" w:eastAsia="仿宋_GB2312"/>
          <w:color w:val="000000"/>
          <w:sz w:val="32"/>
          <w:szCs w:val="32"/>
          <w:lang w:val="en-US"/>
        </w:rPr>
        <w:t>并对</w:t>
      </w:r>
      <w:r>
        <w:rPr>
          <w:rStyle w:val="22"/>
          <w:rFonts w:hint="eastAsia" w:ascii="仿宋_GB2312" w:hAnsi="仿宋" w:eastAsia="仿宋_GB2312"/>
          <w:color w:val="000000"/>
          <w:sz w:val="32"/>
          <w:szCs w:val="32"/>
        </w:rPr>
        <w:t>下阶段全市创建“五好”园区暨重点产业项目推进工作</w:t>
      </w:r>
      <w:r>
        <w:rPr>
          <w:rStyle w:val="22"/>
          <w:rFonts w:hint="eastAsia" w:ascii="仿宋_GB2312" w:hAnsi="仿宋" w:eastAsia="仿宋_GB2312"/>
          <w:color w:val="000000"/>
          <w:sz w:val="32"/>
          <w:szCs w:val="32"/>
          <w:lang w:val="en-US"/>
        </w:rPr>
        <w:t>进行了</w:t>
      </w:r>
      <w:r>
        <w:rPr>
          <w:rStyle w:val="22"/>
          <w:rFonts w:hint="eastAsia" w:ascii="仿宋_GB2312" w:hAnsi="仿宋" w:eastAsia="仿宋_GB2312"/>
          <w:color w:val="000000"/>
          <w:sz w:val="32"/>
          <w:szCs w:val="32"/>
        </w:rPr>
        <w:t>安排</w:t>
      </w:r>
      <w:r>
        <w:rPr>
          <w:rFonts w:hint="eastAsia" w:ascii="仿宋_GB2312" w:hAnsi="仿宋_GB2312" w:eastAsia="仿宋_GB2312" w:cs="仿宋_GB2312"/>
          <w:sz w:val="32"/>
          <w:szCs w:val="32"/>
          <w:lang w:eastAsia="zh-CN"/>
        </w:rPr>
        <w:t>部署。</w:t>
      </w:r>
    </w:p>
    <w:p w14:paraId="1D1906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（7）新增规模工业企业培育发展奖励资金</w:t>
      </w:r>
    </w:p>
    <w:p w14:paraId="078FDD77">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2023年度，</w:t>
      </w:r>
      <w:r>
        <w:rPr>
          <w:rFonts w:hint="eastAsia" w:ascii="仿宋_GB2312" w:hAnsi="仿宋_GB2312" w:eastAsia="仿宋_GB2312" w:cs="仿宋_GB2312"/>
          <w:sz w:val="32"/>
          <w:szCs w:val="32"/>
          <w:lang w:val="en-US" w:eastAsia="zh-CN"/>
        </w:rPr>
        <w:t>新增规模工业企业培育发展奖励资金</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年初预算0万元，调整预算</w:t>
      </w:r>
      <w:r>
        <w:rPr>
          <w:rFonts w:hint="eastAsia" w:ascii="Times New Roman" w:hAnsi="Times New Roman" w:cs="Times New Roman"/>
          <w:b w:val="0"/>
          <w:bCs w:val="0"/>
          <w:i w:val="0"/>
          <w:caps w:val="0"/>
          <w:color w:val="auto"/>
          <w:spacing w:val="0"/>
          <w:w w:val="100"/>
          <w:kern w:val="2"/>
          <w:sz w:val="32"/>
          <w:szCs w:val="32"/>
          <w:lang w:val="en-US" w:eastAsia="zh-CN" w:bidi="ar-SA"/>
        </w:rPr>
        <w:t>70</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万元，预算执行</w:t>
      </w:r>
      <w:r>
        <w:rPr>
          <w:rFonts w:hint="eastAsia" w:ascii="Times New Roman" w:hAnsi="Times New Roman" w:cs="Times New Roman"/>
          <w:b w:val="0"/>
          <w:bCs w:val="0"/>
          <w:i w:val="0"/>
          <w:caps w:val="0"/>
          <w:color w:val="auto"/>
          <w:spacing w:val="0"/>
          <w:w w:val="100"/>
          <w:kern w:val="2"/>
          <w:sz w:val="32"/>
          <w:szCs w:val="32"/>
          <w:lang w:val="en-US" w:eastAsia="zh-CN" w:bidi="ar-SA"/>
        </w:rPr>
        <w:t>70</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万元，预算执行率100%。</w:t>
      </w:r>
      <w:r>
        <w:rPr>
          <w:rFonts w:hint="eastAsia" w:ascii="仿宋_GB2312" w:hAnsi="仿宋_GB2312" w:eastAsia="仿宋_GB2312" w:cs="仿宋_GB2312"/>
          <w:sz w:val="32"/>
          <w:szCs w:val="32"/>
          <w:lang w:val="en-US" w:eastAsia="zh-CN"/>
        </w:rPr>
        <w:t>主要用于保障</w:t>
      </w:r>
      <w:r>
        <w:rPr>
          <w:rFonts w:hint="eastAsia" w:hAnsi="仿宋_GB2312" w:cs="仿宋_GB2312"/>
          <w:sz w:val="32"/>
          <w:szCs w:val="32"/>
          <w:lang w:val="en-US" w:eastAsia="zh-CN"/>
        </w:rPr>
        <w:t>规模工业企业培育发展工作</w:t>
      </w:r>
      <w:r>
        <w:rPr>
          <w:rFonts w:hint="eastAsia" w:ascii="仿宋_GB2312" w:hAnsi="仿宋_GB2312" w:eastAsia="仿宋_GB2312" w:cs="仿宋_GB2312"/>
          <w:sz w:val="32"/>
          <w:szCs w:val="32"/>
        </w:rPr>
        <w:t>各项支出，包括办公费、印刷费、邮电费、培训费、会议费、差旅费、租赁费、委托业务费等。</w:t>
      </w:r>
      <w:r>
        <w:rPr>
          <w:rFonts w:hint="eastAsia" w:ascii="仿宋_GB2312" w:hAnsi="仿宋_GB2312" w:eastAsia="仿宋_GB2312" w:cs="仿宋_GB2312"/>
          <w:sz w:val="32"/>
          <w:szCs w:val="32"/>
          <w:lang w:val="en-US" w:eastAsia="zh-CN"/>
        </w:rPr>
        <w:t>2023年度，我局</w:t>
      </w:r>
      <w:r>
        <w:rPr>
          <w:rFonts w:hint="eastAsia" w:ascii="Times New Roman" w:hAnsi="Times New Roman" w:eastAsia="仿宋_GB2312" w:cs="Times New Roman"/>
          <w:b w:val="0"/>
          <w:bCs w:val="0"/>
          <w:i w:val="0"/>
          <w:caps w:val="0"/>
          <w:color w:val="auto"/>
          <w:spacing w:val="0"/>
          <w:w w:val="100"/>
          <w:sz w:val="32"/>
          <w:szCs w:val="32"/>
          <w:lang w:val="en-US" w:eastAsia="zh-CN"/>
        </w:rPr>
        <w:t>扛牢工业“压舱石”的使命担当，强化工业经济运行监测调度，持续深化联企帮扶，提振企业发展信心，工业经济呈现企稳回升、稳中向好、稳中有进的良好态势。全年规模工业增加值增长2.5%；新增规模以上工业企业156家，排同类市州第1位</w:t>
      </w:r>
      <w:r>
        <w:rPr>
          <w:rFonts w:hint="eastAsia" w:ascii="Times New Roman" w:hAnsi="Times New Roman" w:eastAsia="仿宋_GB2312" w:cs="Times New Roman"/>
          <w:sz w:val="32"/>
          <w:szCs w:val="32"/>
          <w:lang w:val="en-US" w:eastAsia="zh-CN"/>
        </w:rPr>
        <w:t>。</w:t>
      </w:r>
    </w:p>
    <w:p w14:paraId="431026E1">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sz w:val="32"/>
          <w:szCs w:val="32"/>
        </w:rPr>
      </w:pPr>
      <w:r>
        <w:rPr>
          <w:rFonts w:hint="eastAsia" w:ascii="仿宋_GB2312" w:hAnsi="仿宋_GB2312" w:eastAsia="仿宋_GB2312" w:cs="仿宋_GB2312"/>
          <w:sz w:val="32"/>
          <w:szCs w:val="32"/>
          <w:lang w:val="en-US" w:eastAsia="zh-CN"/>
        </w:rPr>
        <w:t>（8）20</w:t>
      </w:r>
      <w:r>
        <w:rPr>
          <w:rFonts w:hint="eastAsia" w:ascii="仿宋_GB2312" w:hAnsi="仿宋_GB2312" w:eastAsia="仿宋_GB2312" w:cs="仿宋_GB2312"/>
          <w:sz w:val="32"/>
          <w:szCs w:val="32"/>
        </w:rPr>
        <w:t>23年上半年计算机软件水平与资格考试经费</w:t>
      </w:r>
    </w:p>
    <w:p w14:paraId="5EAEDE9B">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eastAsia="仿宋_GB2312"/>
          <w:sz w:val="32"/>
          <w:szCs w:val="32"/>
          <w:lang w:val="en-US" w:eastAsia="zh-CN"/>
        </w:rPr>
      </w:pP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2023年度，</w:t>
      </w:r>
      <w:r>
        <w:rPr>
          <w:rFonts w:hint="eastAsia" w:ascii="仿宋_GB2312" w:hAnsi="仿宋_GB2312" w:eastAsia="仿宋_GB2312" w:cs="仿宋_GB2312"/>
          <w:sz w:val="32"/>
          <w:szCs w:val="32"/>
        </w:rPr>
        <w:t>上半年计算机软件水平与资格考试经费</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年初预算0万元，调整预算</w:t>
      </w:r>
      <w:r>
        <w:rPr>
          <w:rFonts w:hint="eastAsia" w:cs="Times New Roman"/>
          <w:b w:val="0"/>
          <w:bCs w:val="0"/>
          <w:i w:val="0"/>
          <w:caps w:val="0"/>
          <w:color w:val="auto"/>
          <w:spacing w:val="0"/>
          <w:w w:val="100"/>
          <w:kern w:val="2"/>
          <w:sz w:val="32"/>
          <w:szCs w:val="32"/>
          <w:lang w:val="en-US" w:eastAsia="zh-CN" w:bidi="ar-SA"/>
        </w:rPr>
        <w:t>3.05</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万元，预算执行</w:t>
      </w:r>
      <w:r>
        <w:rPr>
          <w:rFonts w:hint="eastAsia" w:cs="Times New Roman"/>
          <w:b w:val="0"/>
          <w:bCs w:val="0"/>
          <w:i w:val="0"/>
          <w:caps w:val="0"/>
          <w:color w:val="auto"/>
          <w:spacing w:val="0"/>
          <w:w w:val="100"/>
          <w:kern w:val="2"/>
          <w:sz w:val="32"/>
          <w:szCs w:val="32"/>
          <w:lang w:val="en-US" w:eastAsia="zh-CN" w:bidi="ar-SA"/>
        </w:rPr>
        <w:t>3.05</w:t>
      </w:r>
      <w:r>
        <w:rPr>
          <w:rFonts w:hint="eastAsia" w:ascii="Times New Roman" w:hAnsi="Times New Roman" w:eastAsia="仿宋_GB2312" w:cs="Times New Roman"/>
          <w:b w:val="0"/>
          <w:bCs w:val="0"/>
          <w:i w:val="0"/>
          <w:caps w:val="0"/>
          <w:color w:val="auto"/>
          <w:spacing w:val="0"/>
          <w:w w:val="100"/>
          <w:kern w:val="2"/>
          <w:sz w:val="32"/>
          <w:szCs w:val="32"/>
          <w:lang w:val="en-US" w:eastAsia="zh-CN" w:bidi="ar-SA"/>
        </w:rPr>
        <w:t>万元，预算执行率100%。该项目资金主要用于开展2023年上半年计算机软件水平与资格考试方面的办公费、工作餐、考务费等支出。</w:t>
      </w:r>
      <w:r>
        <w:rPr>
          <w:rFonts w:hint="eastAsia" w:eastAsia="仿宋_GB2312" w:cs="Times New Roman"/>
          <w:b w:val="0"/>
          <w:bCs w:val="0"/>
          <w:i w:val="0"/>
          <w:caps w:val="0"/>
          <w:color w:val="auto"/>
          <w:spacing w:val="0"/>
          <w:w w:val="100"/>
          <w:kern w:val="2"/>
          <w:sz w:val="32"/>
          <w:szCs w:val="32"/>
          <w:lang w:val="en-US" w:eastAsia="zh-CN" w:bidi="ar-SA"/>
        </w:rPr>
        <w:t>我局圆满完成了</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23年上半年计算机软件水平与资格考试</w:t>
      </w:r>
      <w:r>
        <w:rPr>
          <w:rFonts w:hint="eastAsia" w:ascii="仿宋_GB2312" w:hAnsi="仿宋_GB2312" w:eastAsia="仿宋_GB2312" w:cs="仿宋_GB2312"/>
          <w:sz w:val="32"/>
          <w:szCs w:val="32"/>
          <w:lang w:val="en-US" w:eastAsia="zh-CN"/>
        </w:rPr>
        <w:t>工作。</w:t>
      </w:r>
    </w:p>
    <w:p w14:paraId="3A428616">
      <w:pPr>
        <w:keepNext w:val="0"/>
        <w:keepLines w:val="0"/>
        <w:pageBreakBefore w:val="0"/>
        <w:widowControl w:val="0"/>
        <w:numPr>
          <w:ilvl w:val="0"/>
          <w:numId w:val="5"/>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永州市民营经济发展服务中心非税成本支出</w:t>
      </w:r>
    </w:p>
    <w:p w14:paraId="7CBB58AD">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年度，永州市民营经济发展服务中心非税成本支出年初预算36万元，调整预算</w:t>
      </w:r>
      <w:r>
        <w:rPr>
          <w:rFonts w:hint="eastAsia" w:ascii="仿宋_GB2312" w:hAnsi="仿宋_GB2312" w:eastAsia="仿宋_GB2312" w:cs="仿宋_GB2312"/>
          <w:sz w:val="32"/>
          <w:szCs w:val="32"/>
          <w:lang w:val="en-US" w:eastAsia="zh-CN"/>
        </w:rPr>
        <w:t>33.52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预算调整主要原因为：为落实疫情防控有关扶持政策，按市财政局要求，采取免收1个月门面租赁的补偿方式对承租户予以扶持，非税收入未达到预期目标故预算跟随调整。</w:t>
      </w:r>
      <w:r>
        <w:rPr>
          <w:rFonts w:hint="eastAsia" w:ascii="仿宋_GB2312" w:hAnsi="仿宋_GB2312" w:eastAsia="仿宋_GB2312" w:cs="仿宋_GB2312"/>
          <w:sz w:val="32"/>
          <w:szCs w:val="32"/>
        </w:rPr>
        <w:t>预算执行</w:t>
      </w:r>
      <w:r>
        <w:rPr>
          <w:rFonts w:hint="eastAsia" w:ascii="仿宋_GB2312" w:hAnsi="仿宋_GB2312" w:eastAsia="仿宋_GB2312" w:cs="仿宋_GB2312"/>
          <w:sz w:val="32"/>
          <w:szCs w:val="32"/>
          <w:lang w:val="en-US" w:eastAsia="zh-CN"/>
        </w:rPr>
        <w:t>33.52</w:t>
      </w:r>
      <w:r>
        <w:rPr>
          <w:rFonts w:hint="eastAsia" w:ascii="仿宋_GB2312" w:hAnsi="仿宋_GB2312" w:eastAsia="仿宋_GB2312" w:cs="仿宋_GB2312"/>
          <w:sz w:val="32"/>
          <w:szCs w:val="32"/>
        </w:rPr>
        <w:t>万元，结余</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万元，预算执行率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%。主要保障支付原煤炭物资供应站自收自支人员按相关法律规定应享有的各项待遇，主要包括基本工资、绩</w:t>
      </w:r>
      <w:r>
        <w:rPr>
          <w:rFonts w:hint="eastAsia" w:ascii="仿宋_GB2312" w:hAnsi="仿宋_GB2312" w:eastAsia="仿宋_GB2312" w:cs="仿宋_GB2312"/>
          <w:sz w:val="32"/>
          <w:szCs w:val="32"/>
          <w:lang w:val="en-US" w:eastAsia="zh-CN"/>
        </w:rPr>
        <w:t>效工资、社保待遇、公积金、春节走访慰问、固定资产维修（护）等支出。</w:t>
      </w:r>
    </w:p>
    <w:p w14:paraId="59B3DA9C">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（10）2023年往来款</w:t>
      </w:r>
    </w:p>
    <w:p w14:paraId="289E262D">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2023年度，</w:t>
      </w:r>
      <w:r>
        <w:rPr>
          <w:rFonts w:hint="eastAsia" w:ascii="仿宋_GB2312" w:hAnsi="仿宋_GB2312" w:eastAsia="仿宋_GB2312" w:cs="仿宋_GB2312"/>
          <w:sz w:val="32"/>
          <w:szCs w:val="32"/>
          <w:lang w:val="en-US" w:eastAsia="zh-CN"/>
        </w:rPr>
        <w:t>往来款</w:t>
      </w:r>
      <w:r>
        <w:rPr>
          <w:rFonts w:hint="default" w:ascii="仿宋_GB2312" w:hAnsi="仿宋_GB2312" w:eastAsia="仿宋_GB2312" w:cs="仿宋_GB2312"/>
          <w:sz w:val="32"/>
          <w:szCs w:val="32"/>
          <w:lang w:val="en-US" w:eastAsia="zh-CN"/>
        </w:rPr>
        <w:t>年初预算0万元，调整预算55.56万元，资金到位率100%；预算执行55.56万元，结余0万元，预算执行率100%。该项目资金主要用于根据往来款项支出方向开展各项工作。</w:t>
      </w:r>
    </w:p>
    <w:p w14:paraId="3A44B052">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（11）往来款（职称评审）</w:t>
      </w:r>
    </w:p>
    <w:p w14:paraId="7102C099">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2023年度，往来款（职称评审）年初预算0万元，调整预算1.93万元，资金到位率100%；预算执行1.93万元，结余0万元，预算执行率100%。该项目资金主要用于支付2022年度中级职称评审工作的办公费、劳务费等。</w:t>
      </w:r>
    </w:p>
    <w:p w14:paraId="124EAB82">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（12）往来款（职称评审会议费）</w:t>
      </w:r>
    </w:p>
    <w:p w14:paraId="48F7040F">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default"/>
          <w:sz w:val="32"/>
          <w:szCs w:val="32"/>
          <w:lang w:val="en-US" w:eastAsia="zh-CN"/>
        </w:rPr>
      </w:pPr>
      <w:r>
        <w:rPr>
          <w:rFonts w:hint="eastAsia" w:ascii="仿宋_GB2312" w:hAnsi="仿宋_GB2312" w:eastAsia="仿宋_GB2312" w:cs="仿宋_GB2312"/>
          <w:sz w:val="32"/>
          <w:szCs w:val="32"/>
          <w:lang w:val="en-US" w:eastAsia="zh-CN"/>
        </w:rPr>
        <w:t>2023年度，往来款（职称评审）年初预算0万元，调整预算0.13万元，资金到位率100%；预算执行0.13万元，结余0万元，预算执行率100%。该项目资金主要用于支付2022年度中级职称评审工作的会议费。</w:t>
      </w:r>
    </w:p>
    <w:p w14:paraId="0AB59485">
      <w:pPr>
        <w:keepNext w:val="0"/>
        <w:keepLines w:val="0"/>
        <w:pageBreakBefore w:val="0"/>
        <w:widowControl w:val="0"/>
        <w:numPr>
          <w:ilvl w:val="0"/>
          <w:numId w:val="6"/>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专项资金管理情况分析</w:t>
      </w:r>
    </w:p>
    <w:p w14:paraId="2766EF90">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根据财政部《财政支出绩效评价管理暂行办法》、《湖南省人民政府关于全面推进预算绩效管理的意见》</w:t>
      </w:r>
      <w:r>
        <w:rPr>
          <w:rFonts w:hint="eastAsia" w:ascii="仿宋_GB2312" w:hAnsi="仿宋_GB2312" w:eastAsia="仿宋_GB2312" w:cs="仿宋_GB2312"/>
          <w:sz w:val="32"/>
          <w:szCs w:val="32"/>
          <w:lang w:val="en-US" w:eastAsia="zh-CN"/>
        </w:rPr>
        <w:t>等文件要求</w:t>
      </w:r>
      <w:r>
        <w:rPr>
          <w:rFonts w:hint="eastAsia" w:ascii="仿宋_GB2312" w:hAnsi="仿宋_GB2312" w:eastAsia="仿宋_GB2312" w:cs="仿宋_GB2312"/>
          <w:sz w:val="32"/>
          <w:szCs w:val="32"/>
        </w:rPr>
        <w:t>，我局建立了内部控制制度，严格按照制度管理项目资金。所有项目资金的使用按规定和要求进行资金拨付，全部</w:t>
      </w:r>
      <w:r>
        <w:rPr>
          <w:rFonts w:hint="eastAsia" w:ascii="仿宋_GB2312" w:hAnsi="仿宋_GB2312" w:eastAsia="仿宋_GB2312" w:cs="仿宋_GB2312"/>
          <w:sz w:val="32"/>
          <w:szCs w:val="32"/>
          <w:lang w:val="en-US" w:eastAsia="zh-CN"/>
        </w:rPr>
        <w:t>按照绩效目标支出方向列支经费</w:t>
      </w:r>
      <w:r>
        <w:rPr>
          <w:rFonts w:hint="eastAsia" w:ascii="仿宋_GB2312" w:hAnsi="仿宋_GB2312" w:eastAsia="仿宋_GB2312" w:cs="仿宋_GB2312"/>
          <w:sz w:val="32"/>
          <w:szCs w:val="32"/>
        </w:rPr>
        <w:t>。</w:t>
      </w:r>
    </w:p>
    <w:p w14:paraId="76AD0816">
      <w:pPr>
        <w:keepNext w:val="0"/>
        <w:keepLines w:val="0"/>
        <w:pageBreakBefore w:val="0"/>
        <w:widowControl w:val="0"/>
        <w:numPr>
          <w:ilvl w:val="0"/>
          <w:numId w:val="7"/>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政府性基金预算支出情况</w:t>
      </w:r>
    </w:p>
    <w:p w14:paraId="5AE3ACFA">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我单位无政府性基金预算支出</w:t>
      </w:r>
      <w:r>
        <w:rPr>
          <w:rFonts w:hint="eastAsia" w:ascii="仿宋_GB2312" w:hAnsi="仿宋_GB2312" w:eastAsia="仿宋_GB2312" w:cs="仿宋_GB2312"/>
          <w:sz w:val="32"/>
          <w:szCs w:val="32"/>
          <w:lang w:eastAsia="zh-CN"/>
        </w:rPr>
        <w:t>。</w:t>
      </w:r>
    </w:p>
    <w:p w14:paraId="52144C4D">
      <w:pPr>
        <w:keepNext w:val="0"/>
        <w:keepLines w:val="0"/>
        <w:pageBreakBefore w:val="0"/>
        <w:widowControl w:val="0"/>
        <w:numPr>
          <w:ilvl w:val="0"/>
          <w:numId w:val="7"/>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国有资本经营预算支出情况</w:t>
      </w:r>
    </w:p>
    <w:p w14:paraId="23CC4324">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我单位无国有资本经营预算支出</w:t>
      </w:r>
      <w:r>
        <w:rPr>
          <w:rFonts w:hint="eastAsia" w:ascii="仿宋_GB2312" w:hAnsi="仿宋_GB2312" w:eastAsia="仿宋_GB2312" w:cs="仿宋_GB2312"/>
          <w:sz w:val="32"/>
          <w:szCs w:val="32"/>
          <w:lang w:eastAsia="zh-CN"/>
        </w:rPr>
        <w:t>。</w:t>
      </w:r>
    </w:p>
    <w:p w14:paraId="164AB586">
      <w:pPr>
        <w:keepNext w:val="0"/>
        <w:keepLines w:val="0"/>
        <w:pageBreakBefore w:val="0"/>
        <w:widowControl w:val="0"/>
        <w:numPr>
          <w:ilvl w:val="0"/>
          <w:numId w:val="7"/>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社会保险基金预算支出情况</w:t>
      </w:r>
    </w:p>
    <w:p w14:paraId="702A094C">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我单位无社会保险基金预算支出</w:t>
      </w:r>
      <w:r>
        <w:rPr>
          <w:rFonts w:hint="eastAsia" w:ascii="仿宋_GB2312" w:hAnsi="仿宋_GB2312" w:eastAsia="仿宋_GB2312" w:cs="仿宋_GB2312"/>
          <w:sz w:val="32"/>
          <w:szCs w:val="32"/>
          <w:lang w:eastAsia="zh-CN"/>
        </w:rPr>
        <w:t>。</w:t>
      </w:r>
    </w:p>
    <w:p w14:paraId="601A004A">
      <w:pPr>
        <w:keepNext w:val="0"/>
        <w:keepLines w:val="0"/>
        <w:pageBreakBefore w:val="0"/>
        <w:widowControl w:val="0"/>
        <w:numPr>
          <w:ilvl w:val="0"/>
          <w:numId w:val="7"/>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部门整体支出绩效情况</w:t>
      </w:r>
    </w:p>
    <w:p w14:paraId="6A9BEDD3">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年以来，</w:t>
      </w:r>
      <w:r>
        <w:rPr>
          <w:rFonts w:hint="eastAsia" w:eastAsia="仿宋_GB2312" w:cs="Times New Roman"/>
          <w:b w:val="0"/>
          <w:bCs w:val="0"/>
          <w:i w:val="0"/>
          <w:caps w:val="0"/>
          <w:color w:val="auto"/>
          <w:spacing w:val="0"/>
          <w:w w:val="100"/>
          <w:sz w:val="32"/>
          <w:szCs w:val="32"/>
          <w:lang w:val="en-US" w:eastAsia="zh-CN"/>
        </w:rPr>
        <w:t>一</w:t>
      </w:r>
      <w:r>
        <w:rPr>
          <w:rFonts w:hint="eastAsia" w:ascii="Times New Roman" w:hAnsi="Times New Roman" w:eastAsia="仿宋_GB2312" w:cs="Times New Roman"/>
          <w:b w:val="0"/>
          <w:bCs w:val="0"/>
          <w:i w:val="0"/>
          <w:caps w:val="0"/>
          <w:color w:val="auto"/>
          <w:spacing w:val="0"/>
          <w:w w:val="100"/>
          <w:sz w:val="32"/>
          <w:szCs w:val="32"/>
          <w:lang w:val="en-US" w:eastAsia="zh-CN"/>
        </w:rPr>
        <w:t>年来，</w:t>
      </w:r>
      <w:r>
        <w:rPr>
          <w:rFonts w:hint="default" w:ascii="Times New Roman" w:hAnsi="Times New Roman" w:eastAsia="仿宋_GB2312" w:cs="Times New Roman"/>
          <w:b w:val="0"/>
          <w:bCs w:val="0"/>
          <w:i w:val="0"/>
          <w:caps w:val="0"/>
          <w:color w:val="auto"/>
          <w:spacing w:val="0"/>
          <w:w w:val="100"/>
          <w:sz w:val="32"/>
          <w:szCs w:val="32"/>
          <w:lang w:val="en-US" w:eastAsia="zh-CN"/>
        </w:rPr>
        <w:t>在</w:t>
      </w:r>
      <w:r>
        <w:rPr>
          <w:rFonts w:hint="eastAsia" w:ascii="Times New Roman" w:hAnsi="Times New Roman" w:eastAsia="仿宋_GB2312" w:cs="Times New Roman"/>
          <w:b w:val="0"/>
          <w:bCs w:val="0"/>
          <w:i w:val="0"/>
          <w:caps w:val="0"/>
          <w:color w:val="auto"/>
          <w:spacing w:val="0"/>
          <w:w w:val="100"/>
          <w:sz w:val="32"/>
          <w:szCs w:val="32"/>
          <w:lang w:val="en-US" w:eastAsia="zh-CN"/>
        </w:rPr>
        <w:t>市委市政府的坚强领导下，</w:t>
      </w:r>
      <w:r>
        <w:rPr>
          <w:rFonts w:hint="eastAsia" w:eastAsia="仿宋_GB2312" w:cs="Times New Roman"/>
          <w:b w:val="0"/>
          <w:bCs w:val="0"/>
          <w:i w:val="0"/>
          <w:caps w:val="0"/>
          <w:color w:val="auto"/>
          <w:spacing w:val="0"/>
          <w:w w:val="100"/>
          <w:sz w:val="32"/>
          <w:szCs w:val="32"/>
          <w:lang w:val="en-US" w:eastAsia="zh-CN"/>
        </w:rPr>
        <w:t>全</w:t>
      </w:r>
      <w:r>
        <w:rPr>
          <w:rFonts w:hint="eastAsia" w:ascii="Times New Roman" w:hAnsi="Times New Roman" w:eastAsia="仿宋_GB2312" w:cs="Times New Roman"/>
          <w:b w:val="0"/>
          <w:bCs w:val="0"/>
          <w:i w:val="0"/>
          <w:caps w:val="0"/>
          <w:color w:val="auto"/>
          <w:spacing w:val="0"/>
          <w:w w:val="100"/>
          <w:sz w:val="32"/>
          <w:szCs w:val="32"/>
          <w:lang w:val="en-US" w:eastAsia="zh-CN"/>
        </w:rPr>
        <w:t>市工信系统</w:t>
      </w:r>
      <w:r>
        <w:rPr>
          <w:rFonts w:hint="eastAsia" w:eastAsia="仿宋_GB2312" w:cs="Times New Roman"/>
          <w:sz w:val="32"/>
          <w:szCs w:val="32"/>
          <w:lang w:val="en-US" w:eastAsia="zh-CN"/>
        </w:rPr>
        <w:t>以习近平新时代中国特色社会主义思想为指导，</w:t>
      </w:r>
      <w:r>
        <w:rPr>
          <w:rFonts w:hint="eastAsia" w:ascii="Times New Roman" w:hAnsi="Times New Roman" w:eastAsia="仿宋_GB2312" w:cs="Times New Roman"/>
          <w:sz w:val="32"/>
          <w:szCs w:val="32"/>
          <w:lang w:val="en-US" w:eastAsia="zh-CN"/>
        </w:rPr>
        <w:t>认真落实党中央、国务院决策部署和省委省政府、市委市政府工作安排，</w:t>
      </w:r>
      <w:r>
        <w:rPr>
          <w:rFonts w:hint="eastAsia" w:eastAsia="仿宋_GB2312" w:cs="Times New Roman"/>
          <w:sz w:val="32"/>
          <w:szCs w:val="32"/>
          <w:lang w:val="en-US" w:eastAsia="zh-CN"/>
        </w:rPr>
        <w:t>扎实开展主题教育，深入开展“走找想促”活动，锚定</w:t>
      </w:r>
      <w:r>
        <w:rPr>
          <w:rFonts w:hint="eastAsia" w:ascii="Times New Roman" w:hAnsi="Times New Roman" w:eastAsia="仿宋_GB2312" w:cs="Times New Roman"/>
          <w:b w:val="0"/>
          <w:bCs w:val="0"/>
          <w:i w:val="0"/>
          <w:caps w:val="0"/>
          <w:color w:val="auto"/>
          <w:spacing w:val="0"/>
          <w:w w:val="100"/>
          <w:sz w:val="32"/>
          <w:szCs w:val="32"/>
          <w:lang w:val="en-US" w:eastAsia="zh-CN"/>
        </w:rPr>
        <w:t>“三高四新”美好蓝图，</w:t>
      </w:r>
      <w:r>
        <w:rPr>
          <w:rFonts w:hint="eastAsia" w:eastAsia="仿宋_GB2312" w:cs="Times New Roman"/>
          <w:b w:val="0"/>
          <w:bCs w:val="0"/>
          <w:i w:val="0"/>
          <w:caps w:val="0"/>
          <w:color w:val="auto"/>
          <w:spacing w:val="0"/>
          <w:w w:val="100"/>
          <w:sz w:val="32"/>
          <w:szCs w:val="32"/>
          <w:lang w:val="en-US" w:eastAsia="zh-CN"/>
        </w:rPr>
        <w:t>聚力</w:t>
      </w:r>
      <w:r>
        <w:rPr>
          <w:rFonts w:hint="eastAsia" w:ascii="Times New Roman" w:hAnsi="Times New Roman" w:eastAsia="仿宋_GB2312" w:cs="Times New Roman"/>
          <w:b w:val="0"/>
          <w:bCs w:val="0"/>
          <w:i w:val="0"/>
          <w:caps w:val="0"/>
          <w:color w:val="auto"/>
          <w:spacing w:val="0"/>
          <w:w w:val="100"/>
          <w:sz w:val="32"/>
          <w:szCs w:val="32"/>
          <w:lang w:val="en-US" w:eastAsia="zh-CN"/>
        </w:rPr>
        <w:t>打好经济增长主动仗</w:t>
      </w:r>
      <w:r>
        <w:rPr>
          <w:rFonts w:hint="eastAsia" w:eastAsia="仿宋_GB2312" w:cs="Times New Roman"/>
          <w:b w:val="0"/>
          <w:bCs w:val="0"/>
          <w:i w:val="0"/>
          <w:caps w:val="0"/>
          <w:color w:val="auto"/>
          <w:spacing w:val="0"/>
          <w:w w:val="100"/>
          <w:sz w:val="32"/>
          <w:szCs w:val="32"/>
          <w:lang w:val="en-US" w:eastAsia="zh-CN"/>
        </w:rPr>
        <w:t>等“发展六仗”</w:t>
      </w:r>
      <w:r>
        <w:rPr>
          <w:rFonts w:hint="eastAsia" w:ascii="Times New Roman" w:hAnsi="Times New Roman" w:eastAsia="仿宋_GB2312" w:cs="Times New Roman"/>
          <w:b w:val="0"/>
          <w:bCs w:val="0"/>
          <w:i w:val="0"/>
          <w:caps w:val="0"/>
          <w:color w:val="auto"/>
          <w:spacing w:val="0"/>
          <w:w w:val="100"/>
          <w:sz w:val="32"/>
          <w:szCs w:val="32"/>
          <w:lang w:val="en-US" w:eastAsia="zh-CN"/>
        </w:rPr>
        <w:t>，抓实企业、产业、产业链、产业生态“四个着力点”，全力以赴稳增长、强集群、促转型、增动能、优服务，扎实推进新型工业化，持续夯实党的建设，</w:t>
      </w:r>
      <w:r>
        <w:rPr>
          <w:rFonts w:hint="eastAsia" w:eastAsia="仿宋_GB2312" w:cs="Times New Roman"/>
          <w:b w:val="0"/>
          <w:bCs w:val="0"/>
          <w:i w:val="0"/>
          <w:caps w:val="0"/>
          <w:color w:val="auto"/>
          <w:spacing w:val="0"/>
          <w:w w:val="100"/>
          <w:sz w:val="32"/>
          <w:szCs w:val="32"/>
          <w:lang w:val="en-US" w:eastAsia="zh-CN"/>
        </w:rPr>
        <w:t>全市工业和信息化发展呈现量质齐升、加速向好局面，工业经济高质量发展迈出坚实步伐</w:t>
      </w:r>
      <w:r>
        <w:rPr>
          <w:rFonts w:hint="eastAsia" w:ascii="Times New Roman" w:hAnsi="Times New Roman" w:eastAsia="仿宋_GB2312" w:cs="Times New Roman"/>
          <w:b w:val="0"/>
          <w:bCs w:val="0"/>
          <w:i w:val="0"/>
          <w:caps w:val="0"/>
          <w:color w:val="auto"/>
          <w:spacing w:val="0"/>
          <w:w w:val="100"/>
          <w:sz w:val="32"/>
          <w:szCs w:val="32"/>
          <w:lang w:val="en-US" w:eastAsia="zh-CN"/>
        </w:rPr>
        <w:t>。集群培育、工业投资稳居全省第一方阵，全市“建设数字基础设施、推进‘智赋万企’行动”工作获省政府真抓实干督查激励，市本级、县市区（园区）“1+4”共夺得省政府真抓实干激励奖项6项、实现在全省工信领域“大满贯、全覆盖”。</w:t>
      </w:r>
      <w:r>
        <w:rPr>
          <w:rFonts w:hint="eastAsia" w:ascii="仿宋_GB2312" w:hAnsi="仿宋_GB2312" w:eastAsia="仿宋_GB2312" w:cs="仿宋_GB2312"/>
          <w:sz w:val="32"/>
          <w:szCs w:val="32"/>
          <w:lang w:val="en-US" w:eastAsia="zh-CN"/>
        </w:rPr>
        <w:t>我单位</w:t>
      </w:r>
      <w:r>
        <w:rPr>
          <w:rFonts w:hint="eastAsia" w:ascii="仿宋_GB2312" w:hAnsi="仿宋_GB2312" w:eastAsia="仿宋_GB2312" w:cs="仿宋_GB2312"/>
          <w:sz w:val="32"/>
          <w:szCs w:val="32"/>
        </w:rPr>
        <w:t>圆满完成了预算规划的各项工作及市委、市政府交办的其他事项，履行了部门各项职责，达到了预算所设立的主要目标，202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年度永州市工业和信息化局部门整体支出绩效自评结果为</w:t>
      </w:r>
      <w:r>
        <w:rPr>
          <w:rFonts w:hint="eastAsia" w:ascii="仿宋_GB2312" w:hAnsi="仿宋_GB2312" w:eastAsia="仿宋_GB2312" w:cs="仿宋_GB2312"/>
          <w:sz w:val="32"/>
          <w:szCs w:val="32"/>
          <w:lang w:val="en-US" w:eastAsia="zh-CN"/>
        </w:rPr>
        <w:t>98</w:t>
      </w:r>
      <w:r>
        <w:rPr>
          <w:rFonts w:hint="eastAsia" w:ascii="仿宋_GB2312" w:hAnsi="仿宋_GB2312" w:eastAsia="仿宋_GB2312" w:cs="仿宋_GB2312"/>
          <w:sz w:val="32"/>
          <w:szCs w:val="32"/>
        </w:rPr>
        <w:t>分。</w:t>
      </w:r>
    </w:p>
    <w:p w14:paraId="17AC39F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经济效益评价</w:t>
      </w:r>
    </w:p>
    <w:p w14:paraId="5D14F74D">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仿宋_GB2312" w:hAnsi="仿宋_GB2312" w:eastAsia="仿宋_GB2312" w:cs="仿宋_GB2312"/>
          <w:color w:val="auto"/>
          <w:sz w:val="32"/>
          <w:szCs w:val="32"/>
          <w:lang w:val="en-US" w:eastAsia="zh-CN"/>
        </w:rPr>
        <w:t>2023年，</w:t>
      </w:r>
      <w:r>
        <w:rPr>
          <w:rFonts w:hint="eastAsia" w:ascii="仿宋_GB2312" w:hAnsi="仿宋_GB2312" w:eastAsia="仿宋_GB2312" w:cs="仿宋_GB2312"/>
          <w:color w:val="auto"/>
          <w:sz w:val="32"/>
          <w:szCs w:val="32"/>
        </w:rPr>
        <w:t>在市委市政府的坚强领导下，全市工信系统</w:t>
      </w:r>
      <w:r>
        <w:rPr>
          <w:rFonts w:hint="eastAsia" w:ascii="仿宋_GB2312" w:hAnsi="仿宋_GB2312" w:eastAsia="仿宋_GB2312" w:cs="仿宋_GB2312"/>
          <w:b w:val="0"/>
          <w:i w:val="0"/>
          <w:caps w:val="0"/>
          <w:color w:val="auto"/>
          <w:spacing w:val="0"/>
          <w:w w:val="100"/>
          <w:sz w:val="32"/>
          <w:szCs w:val="32"/>
          <w:lang w:val="en-US" w:eastAsia="zh-CN"/>
        </w:rPr>
        <w:t>全面落实</w:t>
      </w:r>
      <w:r>
        <w:rPr>
          <w:rFonts w:hint="eastAsia" w:ascii="仿宋_GB2312" w:hAnsi="仿宋_GB2312" w:eastAsia="仿宋_GB2312" w:cs="仿宋_GB2312"/>
          <w:b w:val="0"/>
          <w:i w:val="0"/>
          <w:caps w:val="0"/>
          <w:color w:val="auto"/>
          <w:spacing w:val="0"/>
          <w:w w:val="100"/>
          <w:sz w:val="32"/>
          <w:szCs w:val="32"/>
        </w:rPr>
        <w:t>“三高四新”战略定位和使命任务，</w:t>
      </w:r>
      <w:r>
        <w:rPr>
          <w:rFonts w:hint="eastAsia" w:ascii="仿宋_GB2312" w:hAnsi="仿宋_GB2312" w:eastAsia="仿宋_GB2312" w:cs="仿宋_GB2312"/>
          <w:b w:val="0"/>
          <w:i w:val="0"/>
          <w:caps w:val="0"/>
          <w:color w:val="auto"/>
          <w:spacing w:val="0"/>
          <w:w w:val="100"/>
          <w:kern w:val="0"/>
          <w:sz w:val="32"/>
          <w:szCs w:val="32"/>
          <w:lang w:val="en-US" w:eastAsia="zh-CN"/>
        </w:rPr>
        <w:t>坚持“稳进高新”工作方针，</w:t>
      </w:r>
      <w:r>
        <w:rPr>
          <w:rFonts w:hint="eastAsia" w:ascii="仿宋_GB2312" w:hAnsi="仿宋_GB2312" w:eastAsia="仿宋_GB2312" w:cs="仿宋_GB2312"/>
          <w:color w:val="auto"/>
          <w:sz w:val="32"/>
          <w:szCs w:val="32"/>
        </w:rPr>
        <w:t>高效统筹疫情防控和工业经济发展，</w:t>
      </w:r>
      <w:r>
        <w:rPr>
          <w:rFonts w:hint="eastAsia" w:ascii="仿宋_GB2312" w:hAnsi="仿宋_GB2312" w:eastAsia="仿宋_GB2312" w:cs="仿宋_GB2312"/>
          <w:b w:val="0"/>
          <w:bCs w:val="0"/>
          <w:i w:val="0"/>
          <w:caps w:val="0"/>
          <w:color w:val="auto"/>
          <w:spacing w:val="0"/>
          <w:w w:val="100"/>
          <w:sz w:val="32"/>
          <w:szCs w:val="32"/>
          <w:lang w:val="en-US" w:eastAsia="zh-CN"/>
        </w:rPr>
        <w:t>锚定在全省版图中增加永州分量的目标，扎实推进“三大支撑八项重点”工作，</w:t>
      </w:r>
      <w:r>
        <w:rPr>
          <w:rFonts w:hint="eastAsia" w:ascii="仿宋_GB2312" w:hAnsi="仿宋_GB2312" w:eastAsia="仿宋_GB2312" w:cs="仿宋_GB2312"/>
          <w:b w:val="0"/>
          <w:i w:val="0"/>
          <w:caps w:val="0"/>
          <w:color w:val="auto"/>
          <w:spacing w:val="0"/>
          <w:w w:val="100"/>
          <w:kern w:val="0"/>
          <w:sz w:val="32"/>
          <w:szCs w:val="32"/>
          <w:lang w:val="en-US" w:eastAsia="zh-CN"/>
        </w:rPr>
        <w:t>全力以赴稳增长、强集群、育企业、建平台，推动各项工作取得新成效，多项指标走在全省前列，实现了工业经济质的有效提升和量的合理增长，全市</w:t>
      </w:r>
      <w:r>
        <w:rPr>
          <w:rFonts w:hint="eastAsia" w:ascii="仿宋_GB2312" w:hAnsi="仿宋_GB2312" w:eastAsia="仿宋_GB2312" w:cs="仿宋_GB2312"/>
          <w:b w:val="0"/>
          <w:bCs w:val="0"/>
          <w:i w:val="0"/>
          <w:caps w:val="0"/>
          <w:color w:val="auto"/>
          <w:spacing w:val="0"/>
          <w:w w:val="100"/>
          <w:sz w:val="32"/>
          <w:szCs w:val="32"/>
          <w:lang w:val="en-US" w:eastAsia="zh-CN"/>
        </w:rPr>
        <w:t>工业经济回升向好，</w:t>
      </w:r>
      <w:r>
        <w:rPr>
          <w:rFonts w:hint="eastAsia" w:ascii="Times New Roman" w:hAnsi="Times New Roman" w:eastAsia="仿宋_GB2312" w:cs="Times New Roman"/>
          <w:b w:val="0"/>
          <w:bCs w:val="0"/>
          <w:i w:val="0"/>
          <w:caps w:val="0"/>
          <w:color w:val="auto"/>
          <w:spacing w:val="0"/>
          <w:w w:val="100"/>
          <w:sz w:val="32"/>
          <w:szCs w:val="32"/>
          <w:lang w:val="en-US" w:eastAsia="zh-CN"/>
        </w:rPr>
        <w:t>全年规模工业增加值增长2.5%；新增规模以上工业企业156家，排同类市州第1位</w:t>
      </w:r>
      <w:r>
        <w:rPr>
          <w:rFonts w:hint="eastAsia" w:ascii="Times New Roman" w:hAnsi="Times New Roman" w:eastAsia="仿宋_GB2312" w:cs="Times New Roman"/>
          <w:sz w:val="32"/>
          <w:szCs w:val="32"/>
          <w:lang w:val="en-US" w:eastAsia="zh-CN"/>
        </w:rPr>
        <w:t>。</w:t>
      </w:r>
    </w:p>
    <w:p w14:paraId="0356CD34">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楷体_GB2312" w:hAnsi="楷体_GB2312" w:eastAsia="楷体_GB2312" w:cs="楷体_GB2312"/>
          <w:b/>
          <w:bCs/>
          <w:i w:val="0"/>
          <w:caps w:val="0"/>
          <w:color w:val="auto"/>
          <w:spacing w:val="0"/>
          <w:w w:val="100"/>
          <w:kern w:val="0"/>
          <w:sz w:val="32"/>
          <w:szCs w:val="32"/>
          <w:lang w:val="en-US" w:eastAsia="zh-CN"/>
        </w:rPr>
      </w:pPr>
      <w:r>
        <w:rPr>
          <w:rFonts w:hint="eastAsia" w:ascii="楷体_GB2312" w:hAnsi="楷体_GB2312" w:eastAsia="楷体_GB2312" w:cs="楷体_GB2312"/>
          <w:b/>
          <w:bCs/>
          <w:i w:val="0"/>
          <w:caps w:val="0"/>
          <w:color w:val="auto"/>
          <w:spacing w:val="0"/>
          <w:w w:val="100"/>
          <w:kern w:val="0"/>
          <w:sz w:val="32"/>
          <w:szCs w:val="32"/>
          <w:lang w:val="en-US" w:eastAsia="zh-CN"/>
        </w:rPr>
        <w:t>（二）管理效率评价</w:t>
      </w:r>
    </w:p>
    <w:p w14:paraId="5758A6A3">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val="0"/>
          <w:i w:val="0"/>
          <w:caps w:val="0"/>
          <w:color w:val="auto"/>
          <w:spacing w:val="0"/>
          <w:w w:val="100"/>
          <w:kern w:val="0"/>
          <w:sz w:val="32"/>
          <w:szCs w:val="32"/>
          <w:lang w:val="en-US" w:eastAsia="zh-CN"/>
        </w:rPr>
        <w:t>为强化部门整体支出，加</w:t>
      </w:r>
      <w:r>
        <w:rPr>
          <w:rFonts w:hint="eastAsia" w:ascii="仿宋_GB2312" w:hAnsi="仿宋_GB2312" w:eastAsia="仿宋_GB2312" w:cs="仿宋_GB2312"/>
          <w:sz w:val="32"/>
          <w:szCs w:val="32"/>
        </w:rPr>
        <w:t>强资金使用效益，提升财务管理，建立节约型机关，我局以优化内部结构，健全规章制度，强化内部管理，规范办事程序，提高服务质量为重点，在强化业务管理、财务管理和厉行节约方面开展了大量工作，机关工作作风进一步改变，行政效能进一步提高。</w:t>
      </w:r>
    </w:p>
    <w:p w14:paraId="14B909C8">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1.实行重点管控，确保“三公”等经费只减不增。</w:t>
      </w:r>
      <w:r>
        <w:rPr>
          <w:rFonts w:hint="eastAsia" w:ascii="仿宋_GB2312" w:hAnsi="仿宋_GB2312" w:eastAsia="仿宋_GB2312" w:cs="仿宋_GB2312"/>
          <w:sz w:val="32"/>
          <w:szCs w:val="32"/>
        </w:rPr>
        <w:t>一是与公务无关的接待不予报销，严格按标准接待。二是从严从紧控制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经费支出标准和范围</w:t>
      </w:r>
      <w:r>
        <w:rPr>
          <w:rFonts w:hint="eastAsia" w:ascii="仿宋_GB2312" w:hAnsi="仿宋_GB2312" w:eastAsia="仿宋_GB2312" w:cs="仿宋_GB2312"/>
          <w:sz w:val="32"/>
          <w:szCs w:val="32"/>
        </w:rPr>
        <w:t>。</w:t>
      </w:r>
    </w:p>
    <w:p w14:paraId="6FA30007">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2.严格审核审批，严控经费支出。</w:t>
      </w:r>
      <w:r>
        <w:rPr>
          <w:rFonts w:hint="eastAsia" w:ascii="仿宋_GB2312" w:hAnsi="仿宋_GB2312" w:eastAsia="仿宋_GB2312" w:cs="仿宋_GB2312"/>
          <w:sz w:val="32"/>
          <w:szCs w:val="32"/>
        </w:rPr>
        <w:t>一是严格审核原始单据，要求发票合法合规，相关资料真实完整，不符合要求的不予报账。二是严格审核经费来源，根据部门预算安排和资金使用进度，核实每笔报账申请的经费来源，无预算经费来源的支出不予报账。三是严格审核各项制度执行情况，没有按规定及程序审批的不予报账，超出预算限额的不予报账。</w:t>
      </w:r>
    </w:p>
    <w:p w14:paraId="12F6D375">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3.加强财务管理，规范财务开支。</w:t>
      </w:r>
      <w:r>
        <w:rPr>
          <w:rFonts w:hint="eastAsia" w:ascii="仿宋_GB2312" w:hAnsi="仿宋_GB2312" w:eastAsia="仿宋_GB2312" w:cs="仿宋_GB2312"/>
          <w:sz w:val="32"/>
          <w:szCs w:val="32"/>
        </w:rPr>
        <w:t>按照市财政局要求对部门预算、决算、绩效、三公经费等相关信息进行公示，根据经费支出情况，我局办公室定期进行经费支出财务统计和分析，定期向分管领导进行汇报，对经费支出的管理状况提出财务建议。</w:t>
      </w:r>
    </w:p>
    <w:p w14:paraId="5B874DEB">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履职效能评价</w:t>
      </w:r>
    </w:p>
    <w:p w14:paraId="78D283C4">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黑体" w:cs="Times New Roman"/>
          <w:b w:val="0"/>
          <w:i w:val="0"/>
          <w:caps w:val="0"/>
          <w:color w:val="auto"/>
          <w:spacing w:val="0"/>
          <w:w w:val="100"/>
          <w:kern w:val="0"/>
          <w:sz w:val="32"/>
          <w:szCs w:val="32"/>
          <w:lang w:val="en-US" w:eastAsia="zh-CN"/>
        </w:rPr>
      </w:pPr>
      <w:r>
        <w:rPr>
          <w:rFonts w:hint="eastAsia" w:eastAsia="仿宋_GB2312" w:cs="Times New Roman"/>
          <w:b w:val="0"/>
          <w:bCs w:val="0"/>
          <w:i w:val="0"/>
          <w:caps w:val="0"/>
          <w:color w:val="auto"/>
          <w:spacing w:val="0"/>
          <w:w w:val="100"/>
          <w:sz w:val="32"/>
          <w:szCs w:val="32"/>
          <w:lang w:val="en-US" w:eastAsia="zh-CN"/>
        </w:rPr>
        <w:t>2023年是极不平凡、充满挑战的一年。一</w:t>
      </w:r>
      <w:r>
        <w:rPr>
          <w:rFonts w:hint="eastAsia" w:ascii="Times New Roman" w:hAnsi="Times New Roman" w:eastAsia="仿宋_GB2312" w:cs="Times New Roman"/>
          <w:b w:val="0"/>
          <w:bCs w:val="0"/>
          <w:i w:val="0"/>
          <w:caps w:val="0"/>
          <w:color w:val="auto"/>
          <w:spacing w:val="0"/>
          <w:w w:val="100"/>
          <w:sz w:val="32"/>
          <w:szCs w:val="32"/>
          <w:lang w:val="en-US" w:eastAsia="zh-CN"/>
        </w:rPr>
        <w:t>年来，</w:t>
      </w:r>
      <w:r>
        <w:rPr>
          <w:rFonts w:hint="default" w:ascii="Times New Roman" w:hAnsi="Times New Roman" w:eastAsia="仿宋_GB2312" w:cs="Times New Roman"/>
          <w:b w:val="0"/>
          <w:bCs w:val="0"/>
          <w:i w:val="0"/>
          <w:caps w:val="0"/>
          <w:color w:val="auto"/>
          <w:spacing w:val="0"/>
          <w:w w:val="100"/>
          <w:sz w:val="32"/>
          <w:szCs w:val="32"/>
          <w:lang w:val="en-US" w:eastAsia="zh-CN"/>
        </w:rPr>
        <w:t>在</w:t>
      </w:r>
      <w:r>
        <w:rPr>
          <w:rFonts w:hint="eastAsia" w:ascii="Times New Roman" w:hAnsi="Times New Roman" w:eastAsia="仿宋_GB2312" w:cs="Times New Roman"/>
          <w:b w:val="0"/>
          <w:bCs w:val="0"/>
          <w:i w:val="0"/>
          <w:caps w:val="0"/>
          <w:color w:val="auto"/>
          <w:spacing w:val="0"/>
          <w:w w:val="100"/>
          <w:sz w:val="32"/>
          <w:szCs w:val="32"/>
          <w:lang w:val="en-US" w:eastAsia="zh-CN"/>
        </w:rPr>
        <w:t>市委市政府的坚强领导下，</w:t>
      </w:r>
      <w:r>
        <w:rPr>
          <w:rFonts w:hint="eastAsia" w:eastAsia="仿宋_GB2312" w:cs="Times New Roman"/>
          <w:b w:val="0"/>
          <w:bCs w:val="0"/>
          <w:i w:val="0"/>
          <w:caps w:val="0"/>
          <w:color w:val="auto"/>
          <w:spacing w:val="0"/>
          <w:w w:val="100"/>
          <w:sz w:val="32"/>
          <w:szCs w:val="32"/>
          <w:lang w:val="en-US" w:eastAsia="zh-CN"/>
        </w:rPr>
        <w:t>全</w:t>
      </w:r>
      <w:r>
        <w:rPr>
          <w:rFonts w:hint="eastAsia" w:ascii="Times New Roman" w:hAnsi="Times New Roman" w:eastAsia="仿宋_GB2312" w:cs="Times New Roman"/>
          <w:b w:val="0"/>
          <w:bCs w:val="0"/>
          <w:i w:val="0"/>
          <w:caps w:val="0"/>
          <w:color w:val="auto"/>
          <w:spacing w:val="0"/>
          <w:w w:val="100"/>
          <w:sz w:val="32"/>
          <w:szCs w:val="32"/>
          <w:lang w:val="en-US" w:eastAsia="zh-CN"/>
        </w:rPr>
        <w:t>市工信系统</w:t>
      </w:r>
      <w:r>
        <w:rPr>
          <w:rFonts w:hint="eastAsia" w:eastAsia="仿宋_GB2312" w:cs="Times New Roman"/>
          <w:sz w:val="32"/>
          <w:szCs w:val="32"/>
          <w:lang w:val="en-US" w:eastAsia="zh-CN"/>
        </w:rPr>
        <w:t>以习近平新时代中国特色社会主义思想为指导，</w:t>
      </w:r>
      <w:r>
        <w:rPr>
          <w:rFonts w:hint="eastAsia" w:ascii="Times New Roman" w:hAnsi="Times New Roman" w:eastAsia="仿宋_GB2312" w:cs="Times New Roman"/>
          <w:sz w:val="32"/>
          <w:szCs w:val="32"/>
          <w:lang w:val="en-US" w:eastAsia="zh-CN"/>
        </w:rPr>
        <w:t>认真落实党中央、国务院决策部署和省委省政府、市委市政府工作安排，</w:t>
      </w:r>
      <w:r>
        <w:rPr>
          <w:rFonts w:hint="eastAsia" w:eastAsia="仿宋_GB2312" w:cs="Times New Roman"/>
          <w:sz w:val="32"/>
          <w:szCs w:val="32"/>
          <w:lang w:val="en-US" w:eastAsia="zh-CN"/>
        </w:rPr>
        <w:t>扎实开展主题教育，深入开展“走找想促”活动，锚定</w:t>
      </w:r>
      <w:r>
        <w:rPr>
          <w:rFonts w:hint="eastAsia" w:ascii="Times New Roman" w:hAnsi="Times New Roman" w:eastAsia="仿宋_GB2312" w:cs="Times New Roman"/>
          <w:b w:val="0"/>
          <w:bCs w:val="0"/>
          <w:i w:val="0"/>
          <w:caps w:val="0"/>
          <w:color w:val="auto"/>
          <w:spacing w:val="0"/>
          <w:w w:val="100"/>
          <w:sz w:val="32"/>
          <w:szCs w:val="32"/>
          <w:lang w:val="en-US" w:eastAsia="zh-CN"/>
        </w:rPr>
        <w:t>“三高四新”美好蓝图，</w:t>
      </w:r>
      <w:r>
        <w:rPr>
          <w:rFonts w:hint="eastAsia" w:eastAsia="仿宋_GB2312" w:cs="Times New Roman"/>
          <w:b w:val="0"/>
          <w:bCs w:val="0"/>
          <w:i w:val="0"/>
          <w:caps w:val="0"/>
          <w:color w:val="auto"/>
          <w:spacing w:val="0"/>
          <w:w w:val="100"/>
          <w:sz w:val="32"/>
          <w:szCs w:val="32"/>
          <w:lang w:val="en-US" w:eastAsia="zh-CN"/>
        </w:rPr>
        <w:t>聚力</w:t>
      </w:r>
      <w:r>
        <w:rPr>
          <w:rFonts w:hint="eastAsia" w:ascii="Times New Roman" w:hAnsi="Times New Roman" w:eastAsia="仿宋_GB2312" w:cs="Times New Roman"/>
          <w:b w:val="0"/>
          <w:bCs w:val="0"/>
          <w:i w:val="0"/>
          <w:caps w:val="0"/>
          <w:color w:val="auto"/>
          <w:spacing w:val="0"/>
          <w:w w:val="100"/>
          <w:sz w:val="32"/>
          <w:szCs w:val="32"/>
          <w:lang w:val="en-US" w:eastAsia="zh-CN"/>
        </w:rPr>
        <w:t>打好经济增长主动仗</w:t>
      </w:r>
      <w:r>
        <w:rPr>
          <w:rFonts w:hint="eastAsia" w:eastAsia="仿宋_GB2312" w:cs="Times New Roman"/>
          <w:b w:val="0"/>
          <w:bCs w:val="0"/>
          <w:i w:val="0"/>
          <w:caps w:val="0"/>
          <w:color w:val="auto"/>
          <w:spacing w:val="0"/>
          <w:w w:val="100"/>
          <w:sz w:val="32"/>
          <w:szCs w:val="32"/>
          <w:lang w:val="en-US" w:eastAsia="zh-CN"/>
        </w:rPr>
        <w:t>等“发展六仗”</w:t>
      </w:r>
      <w:r>
        <w:rPr>
          <w:rFonts w:hint="eastAsia" w:ascii="Times New Roman" w:hAnsi="Times New Roman" w:eastAsia="仿宋_GB2312" w:cs="Times New Roman"/>
          <w:b w:val="0"/>
          <w:bCs w:val="0"/>
          <w:i w:val="0"/>
          <w:caps w:val="0"/>
          <w:color w:val="auto"/>
          <w:spacing w:val="0"/>
          <w:w w:val="100"/>
          <w:sz w:val="32"/>
          <w:szCs w:val="32"/>
          <w:lang w:val="en-US" w:eastAsia="zh-CN"/>
        </w:rPr>
        <w:t>，抓实企业、产业、产业链、产业生态“四个着力点”，全力以赴稳增长、强集群、促转型、增动能、优服务，扎实推进新型工业化，持续夯实党的建设，</w:t>
      </w:r>
      <w:r>
        <w:rPr>
          <w:rFonts w:hint="eastAsia" w:eastAsia="仿宋_GB2312" w:cs="Times New Roman"/>
          <w:b w:val="0"/>
          <w:bCs w:val="0"/>
          <w:i w:val="0"/>
          <w:caps w:val="0"/>
          <w:color w:val="auto"/>
          <w:spacing w:val="0"/>
          <w:w w:val="100"/>
          <w:sz w:val="32"/>
          <w:szCs w:val="32"/>
          <w:lang w:val="en-US" w:eastAsia="zh-CN"/>
        </w:rPr>
        <w:t>全市工业和信息化发展呈现量质齐升、加速向好局面，工业经济高质量发展迈出坚实步伐</w:t>
      </w:r>
      <w:r>
        <w:rPr>
          <w:rFonts w:hint="eastAsia" w:ascii="Times New Roman" w:hAnsi="Times New Roman" w:eastAsia="仿宋_GB2312" w:cs="Times New Roman"/>
          <w:b w:val="0"/>
          <w:bCs w:val="0"/>
          <w:i w:val="0"/>
          <w:caps w:val="0"/>
          <w:color w:val="auto"/>
          <w:spacing w:val="0"/>
          <w:w w:val="100"/>
          <w:sz w:val="32"/>
          <w:szCs w:val="32"/>
          <w:lang w:val="en-US" w:eastAsia="zh-CN"/>
        </w:rPr>
        <w:t>。集群培育、工业投资稳居全省第一方阵，全市“建设数字基础设施、推进‘智赋万企’行动”工作获省政府真抓实干督查激励，市本级、县市区（园区）“1+4”共夺得省政府真抓实干激励奖项6项、实现在全省工信领域“大满贯、全覆盖”。</w:t>
      </w:r>
    </w:p>
    <w:p w14:paraId="06D931AB">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b w:val="0"/>
          <w:bCs w:val="0"/>
          <w:i w:val="0"/>
          <w:caps w:val="0"/>
          <w:color w:val="auto"/>
          <w:spacing w:val="0"/>
          <w:w w:val="100"/>
          <w:sz w:val="32"/>
          <w:szCs w:val="32"/>
          <w:lang w:val="en-US" w:eastAsia="zh-CN"/>
        </w:rPr>
      </w:pPr>
      <w:r>
        <w:rPr>
          <w:rFonts w:hint="eastAsia" w:ascii="Times New Roman" w:hAnsi="Times New Roman" w:eastAsia="楷体_GB2312" w:cs="Times New Roman"/>
          <w:b/>
          <w:bCs/>
          <w:i w:val="0"/>
          <w:caps w:val="0"/>
          <w:color w:val="000000"/>
          <w:spacing w:val="0"/>
          <w:w w:val="100"/>
          <w:kern w:val="0"/>
          <w:sz w:val="32"/>
          <w:szCs w:val="32"/>
          <w:lang w:val="en-US" w:eastAsia="zh-CN"/>
        </w:rPr>
        <w:t>1.工业经济回升向好。</w:t>
      </w:r>
      <w:r>
        <w:rPr>
          <w:rFonts w:hint="eastAsia" w:ascii="Times New Roman" w:hAnsi="Times New Roman" w:eastAsia="仿宋_GB2312" w:cs="Times New Roman"/>
          <w:b w:val="0"/>
          <w:bCs w:val="0"/>
          <w:i w:val="0"/>
          <w:caps w:val="0"/>
          <w:color w:val="auto"/>
          <w:spacing w:val="0"/>
          <w:w w:val="100"/>
          <w:sz w:val="32"/>
          <w:szCs w:val="32"/>
          <w:lang w:val="en-US" w:eastAsia="zh-CN"/>
        </w:rPr>
        <w:t>扛牢工业“压舱石”的使命担当，强化工业经济运行监测调度，持续深化联企帮扶，提振企业发展信心，工业经济呈现企稳回升、稳中向好、稳中有进的良好态势。全年规模工业增加值增长2.5%；新增规模以上工业企业156家，排同类市州第1位</w:t>
      </w:r>
      <w:r>
        <w:rPr>
          <w:rFonts w:hint="eastAsia" w:ascii="Times New Roman" w:hAnsi="Times New Roman" w:eastAsia="仿宋_GB2312" w:cs="Times New Roman"/>
          <w:sz w:val="32"/>
          <w:szCs w:val="32"/>
          <w:lang w:val="en-US" w:eastAsia="zh-CN"/>
        </w:rPr>
        <w:t>。</w:t>
      </w:r>
    </w:p>
    <w:p w14:paraId="5D687033">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default" w:ascii="Times New Roman" w:hAnsi="Times New Roman" w:eastAsia="仿宋_GB2312" w:cs="Times New Roman"/>
          <w:sz w:val="32"/>
          <w:szCs w:val="32"/>
          <w:lang w:val="en-US" w:eastAsia="zh-CN"/>
        </w:rPr>
      </w:pPr>
      <w:r>
        <w:rPr>
          <w:rFonts w:hint="eastAsia" w:ascii="Times New Roman" w:hAnsi="Times New Roman" w:eastAsia="楷体_GB2312" w:cs="Times New Roman"/>
          <w:b/>
          <w:bCs/>
          <w:i w:val="0"/>
          <w:caps w:val="0"/>
          <w:color w:val="000000"/>
          <w:spacing w:val="0"/>
          <w:w w:val="100"/>
          <w:kern w:val="0"/>
          <w:sz w:val="32"/>
          <w:szCs w:val="32"/>
          <w:lang w:val="en-US" w:eastAsia="zh-CN"/>
        </w:rPr>
        <w:t>2.企业培育迸发新活力。</w:t>
      </w:r>
      <w:r>
        <w:rPr>
          <w:rFonts w:hint="eastAsia" w:ascii="Times New Roman" w:hAnsi="Times New Roman" w:eastAsia="仿宋_GB2312" w:cs="Times New Roman"/>
          <w:sz w:val="32"/>
          <w:szCs w:val="32"/>
          <w:lang w:val="en-US" w:eastAsia="zh-CN"/>
        </w:rPr>
        <w:t>常态长效开展“三送三解三优”行动，精耕营商环境“土壤”，精挑优质培育“种子”，精锻特色产业链“枝干”，梯度培育优质企业。加强财政、金融政策联动，全市</w:t>
      </w:r>
      <w:r>
        <w:rPr>
          <w:rFonts w:hint="default" w:ascii="Times New Roman" w:hAnsi="Times New Roman" w:eastAsia="仿宋_GB2312" w:cs="Times New Roman"/>
          <w:sz w:val="32"/>
          <w:szCs w:val="32"/>
          <w:lang w:val="en-US" w:eastAsia="zh-CN"/>
        </w:rPr>
        <w:t>财政</w:t>
      </w:r>
      <w:r>
        <w:rPr>
          <w:rFonts w:hint="eastAsia" w:ascii="Times New Roman" w:hAnsi="Times New Roman" w:eastAsia="仿宋_GB2312" w:cs="Times New Roman"/>
          <w:sz w:val="32"/>
          <w:szCs w:val="32"/>
          <w:lang w:val="en-US" w:eastAsia="zh-CN"/>
        </w:rPr>
        <w:t>兑现</w:t>
      </w:r>
      <w:r>
        <w:rPr>
          <w:rFonts w:hint="default" w:ascii="Times New Roman" w:hAnsi="Times New Roman" w:eastAsia="仿宋_GB2312" w:cs="Times New Roman"/>
          <w:sz w:val="32"/>
          <w:szCs w:val="32"/>
          <w:lang w:val="en-US" w:eastAsia="zh-CN"/>
        </w:rPr>
        <w:t>支持</w:t>
      </w:r>
      <w:r>
        <w:rPr>
          <w:rFonts w:hint="eastAsia" w:ascii="Times New Roman" w:hAnsi="Times New Roman" w:eastAsia="仿宋_GB2312" w:cs="Times New Roman"/>
          <w:sz w:val="32"/>
          <w:szCs w:val="32"/>
          <w:lang w:val="en-US" w:eastAsia="zh-CN"/>
        </w:rPr>
        <w:t>上</w:t>
      </w:r>
      <w:r>
        <w:rPr>
          <w:rFonts w:hint="default" w:ascii="Times New Roman" w:hAnsi="Times New Roman" w:eastAsia="仿宋_GB2312" w:cs="Times New Roman"/>
          <w:sz w:val="32"/>
          <w:szCs w:val="32"/>
          <w:lang w:val="en-US" w:eastAsia="zh-CN"/>
        </w:rPr>
        <w:t>年度新增专精特新“小巨人”企业奖金1047.5万元</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规模工业企业奖金403.27万元</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依托“湘企融”平台新增中小企业商业价值信用贷款244.47亿元</w:t>
      </w:r>
      <w:r>
        <w:rPr>
          <w:rFonts w:hint="eastAsia" w:ascii="Times New Roman" w:hAnsi="Times New Roman" w:eastAsia="仿宋_GB2312" w:cs="Times New Roman"/>
          <w:sz w:val="32"/>
          <w:szCs w:val="32"/>
          <w:lang w:val="en-US" w:eastAsia="zh-CN"/>
        </w:rPr>
        <w:t>。帮助150家企业获得省级以上各类专项资金9059.36万元，累计清理拖欠民营企业中小企业账款7514.23万元</w:t>
      </w:r>
      <w:r>
        <w:rPr>
          <w:rFonts w:hint="eastAsia" w:eastAsia="仿宋_GB2312" w:cs="Times New Roman"/>
          <w:sz w:val="32"/>
          <w:szCs w:val="32"/>
          <w:lang w:val="en-US" w:eastAsia="zh-CN"/>
        </w:rPr>
        <w:t>，清偿率、问题线索化解率居全省前列。</w:t>
      </w:r>
      <w:r>
        <w:rPr>
          <w:rFonts w:hint="eastAsia" w:ascii="Times New Roman" w:hAnsi="Times New Roman" w:eastAsia="仿宋_GB2312" w:cs="Times New Roman"/>
          <w:sz w:val="32"/>
          <w:szCs w:val="32"/>
          <w:u w:val="none"/>
          <w:lang w:val="en-US" w:eastAsia="zh-CN"/>
        </w:rPr>
        <w:t>着力培育骨干龙头企业，</w:t>
      </w:r>
      <w:r>
        <w:rPr>
          <w:rFonts w:hint="eastAsia" w:ascii="Times New Roman" w:hAnsi="Times New Roman" w:eastAsia="仿宋_GB2312" w:cs="Times New Roman"/>
          <w:sz w:val="32"/>
          <w:szCs w:val="32"/>
          <w:lang w:val="en-US" w:eastAsia="zh-CN"/>
        </w:rPr>
        <w:t>零陵卷烟厂、国网永州供电公司年产值达50亿元以上。优质企业群体壮大，全市新增国家专精特新“小巨人”企业3家、省级专精特新中小企业105家、创新型中小企业294家、省级制造业单项冠军6家，</w:t>
      </w:r>
      <w:r>
        <w:rPr>
          <w:rFonts w:hint="eastAsia" w:ascii="Times New Roman" w:hAnsi="Times New Roman" w:eastAsia="仿宋_GB2312" w:cs="Times New Roman"/>
          <w:sz w:val="32"/>
          <w:szCs w:val="32"/>
          <w:u w:val="none"/>
          <w:lang w:val="en-US" w:eastAsia="zh-CN"/>
        </w:rPr>
        <w:t>创历史新高。推动高端化、绿色化发展，认定</w:t>
      </w:r>
      <w:r>
        <w:rPr>
          <w:rFonts w:hint="eastAsia" w:ascii="Times New Roman" w:hAnsi="Times New Roman" w:eastAsia="仿宋_GB2312" w:cs="Times New Roman"/>
          <w:sz w:val="32"/>
          <w:szCs w:val="32"/>
          <w:lang w:val="en-US" w:eastAsia="zh-CN"/>
        </w:rPr>
        <w:t>省级“三品”标杆企业3家，</w:t>
      </w:r>
      <w:r>
        <w:rPr>
          <w:rFonts w:hint="eastAsia" w:ascii="Times New Roman" w:hAnsi="Times New Roman" w:eastAsia="仿宋_GB2312" w:cs="Times New Roman"/>
          <w:sz w:val="32"/>
          <w:szCs w:val="32"/>
          <w:u w:val="none"/>
          <w:lang w:val="en-US" w:eastAsia="zh-CN"/>
        </w:rPr>
        <w:t>新获评省级企业技术中心24家、省工业设计中心2家，</w:t>
      </w:r>
      <w:r>
        <w:rPr>
          <w:rFonts w:hint="eastAsia" w:ascii="Times New Roman" w:hAnsi="Times New Roman" w:eastAsia="仿宋_GB2312" w:cs="Times New Roman"/>
          <w:sz w:val="32"/>
          <w:szCs w:val="32"/>
          <w:lang w:val="en-US" w:eastAsia="zh-CN"/>
        </w:rPr>
        <w:t>新增国家绿色工厂2家、省级绿色工厂6家。</w:t>
      </w:r>
    </w:p>
    <w:p w14:paraId="11444311">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楷体_GB2312" w:cs="Times New Roman"/>
          <w:b/>
          <w:bCs/>
          <w:i w:val="0"/>
          <w:caps w:val="0"/>
          <w:color w:val="auto"/>
          <w:spacing w:val="0"/>
          <w:w w:val="100"/>
          <w:kern w:val="0"/>
          <w:sz w:val="32"/>
          <w:szCs w:val="32"/>
          <w:lang w:val="en-US" w:eastAsia="zh-CN"/>
        </w:rPr>
        <w:t>3</w:t>
      </w:r>
      <w:r>
        <w:rPr>
          <w:rFonts w:hint="eastAsia" w:ascii="Times New Roman" w:hAnsi="Times New Roman" w:eastAsia="楷体_GB2312" w:cs="Times New Roman"/>
          <w:b/>
          <w:bCs/>
          <w:i w:val="0"/>
          <w:caps w:val="0"/>
          <w:color w:val="000000"/>
          <w:spacing w:val="0"/>
          <w:w w:val="100"/>
          <w:kern w:val="0"/>
          <w:sz w:val="32"/>
          <w:szCs w:val="32"/>
          <w:lang w:val="en-US" w:eastAsia="zh-CN"/>
        </w:rPr>
        <w:t>.产业项目积蓄新</w:t>
      </w:r>
      <w:r>
        <w:rPr>
          <w:rFonts w:hint="eastAsia" w:ascii="Times New Roman" w:hAnsi="Times New Roman" w:eastAsia="楷体_GB2312" w:cs="Times New Roman"/>
          <w:b/>
          <w:bCs/>
          <w:i w:val="0"/>
          <w:caps w:val="0"/>
          <w:color w:val="auto"/>
          <w:spacing w:val="0"/>
          <w:w w:val="100"/>
          <w:kern w:val="0"/>
          <w:sz w:val="32"/>
          <w:szCs w:val="32"/>
          <w:lang w:val="en-US" w:eastAsia="zh-CN"/>
        </w:rPr>
        <w:t>动能。</w:t>
      </w:r>
      <w:r>
        <w:rPr>
          <w:rFonts w:hint="eastAsia" w:ascii="Times New Roman" w:hAnsi="Times New Roman" w:eastAsia="仿宋_GB2312" w:cs="Times New Roman"/>
          <w:sz w:val="32"/>
          <w:szCs w:val="32"/>
          <w:lang w:val="en-US" w:eastAsia="zh-CN"/>
        </w:rPr>
        <w:t>坚持将产业建设作为高质量发展的</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主引擎</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来抓，推动产业发展“千百十”工程迈上新台阶，持续增强产业发展整体实力和核心竞争力。列入省级产业发展“万千百”重点项目5个，累计完成投资76.66亿元。储能项目新建运营7个、在建3个。全市工业固定资产投资增长率为22.3%，排全省第2位。新引进投资5000万元以上项目387个，总投资1031.65亿元。十大产业项目完成投资110.96亿元。首个与央企共建的项目湖南稀土新材料产业园、科力尔智能制造产业园项目开工。运达风电机组实现整机永州造。鲁丽绿色新材料科技产业园、东安特种制造基地一期建成并已试投产。紫金锂业锂矿采选和精深加工项目试采选。零陵卷烟厂“卷包及动力车间就地技术改造项目”获国家烟草专卖局批复。产业千百十工作经验做法获省工信厅专刊推介。</w:t>
      </w:r>
    </w:p>
    <w:p w14:paraId="36C1E65C">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楷体_GB2312" w:cs="Times New Roman"/>
          <w:b/>
          <w:bCs/>
          <w:i w:val="0"/>
          <w:caps w:val="0"/>
          <w:color w:val="auto"/>
          <w:spacing w:val="0"/>
          <w:w w:val="100"/>
          <w:kern w:val="0"/>
          <w:sz w:val="32"/>
          <w:szCs w:val="32"/>
          <w:lang w:val="en-US" w:eastAsia="zh-CN"/>
        </w:rPr>
        <w:t>4.产业集群构筑新优势。</w:t>
      </w:r>
      <w:r>
        <w:rPr>
          <w:rFonts w:hint="eastAsia" w:ascii="Times New Roman" w:hAnsi="Times New Roman" w:eastAsia="仿宋_GB2312" w:cs="Times New Roman"/>
          <w:sz w:val="32"/>
          <w:szCs w:val="32"/>
          <w:lang w:val="en-US" w:eastAsia="zh-CN"/>
        </w:rPr>
        <w:t>以制造业产业集群高质量发展为抓手，锚定园区“主特”产业布局持续发力，组织开展省级产业集群竞赛模拟答辩，构建产业集群培育梯度发展体系。推进产业链精准招商，相继举办三届永州·蓝山国际皮具箱包博览会和永州制造业品牌推介暨产业链供应链对接会</w:t>
      </w:r>
      <w:r>
        <w:rPr>
          <w:rFonts w:hint="eastAsia" w:ascii="Times New Roman" w:hAnsi="Times New Roman" w:eastAsia="仿宋_GB2312" w:cs="Times New Roman"/>
          <w:sz w:val="32"/>
          <w:szCs w:val="32"/>
          <w:lang w:val="en" w:eastAsia="zh-CN"/>
        </w:rPr>
        <w:t>。</w:t>
      </w:r>
      <w:r>
        <w:rPr>
          <w:rFonts w:hint="eastAsia" w:ascii="Times New Roman" w:hAnsi="Times New Roman" w:eastAsia="仿宋_GB2312" w:cs="Times New Roman"/>
          <w:sz w:val="32"/>
          <w:szCs w:val="32"/>
          <w:lang w:val="en-US" w:eastAsia="zh-CN"/>
        </w:rPr>
        <w:t>新培育5个省级产业集群及培育对象，总数排全省第2位，形成了产业名片。其中，祁阳轻纺制鞋-纺织、蓝山县轻工轻纺－皮具玩具和江华县智能小家电电机产业集群新晋为省级产业集群；永州特优中药材植物提取、宁远县锂电材料产业集群新入选省级产业集群培育对象。东安县吉他、双牌县竹木加工、</w:t>
      </w:r>
      <w:r>
        <w:rPr>
          <w:rFonts w:hint="eastAsia" w:ascii="仿宋_GB2312" w:hAnsi="Times New Roman" w:eastAsia="仿宋_GB2312" w:cs="Times New Roman"/>
          <w:color w:val="000000"/>
          <w:sz w:val="32"/>
          <w:szCs w:val="32"/>
          <w:lang w:eastAsia="zh-CN"/>
        </w:rPr>
        <w:t>永州经开区磁性电子元器件</w:t>
      </w:r>
      <w:r>
        <w:rPr>
          <w:rFonts w:hint="eastAsia" w:ascii="Times New Roman" w:hAnsi="Times New Roman" w:eastAsia="仿宋_GB2312" w:cs="Times New Roman"/>
          <w:sz w:val="32"/>
          <w:szCs w:val="32"/>
          <w:lang w:val="en-US" w:eastAsia="zh-CN"/>
        </w:rPr>
        <w:t>等区域特色产业发展来势向好，形成了一定规模。</w:t>
      </w:r>
    </w:p>
    <w:p w14:paraId="7D039C44">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楷体_GB2312" w:cs="Times New Roman"/>
          <w:b/>
          <w:bCs/>
          <w:i w:val="0"/>
          <w:caps w:val="0"/>
          <w:color w:val="000000"/>
          <w:spacing w:val="0"/>
          <w:w w:val="100"/>
          <w:kern w:val="0"/>
          <w:sz w:val="32"/>
          <w:szCs w:val="32"/>
          <w:lang w:val="en-US" w:eastAsia="zh-CN"/>
        </w:rPr>
        <w:t>5.园区建设提升新质效。</w:t>
      </w:r>
      <w:r>
        <w:rPr>
          <w:rFonts w:hint="eastAsia" w:ascii="Times New Roman" w:hAnsi="Times New Roman" w:eastAsia="仿宋_GB2312" w:cs="Times New Roman"/>
          <w:sz w:val="32"/>
          <w:szCs w:val="32"/>
          <w:lang w:val="en-US" w:eastAsia="zh-CN"/>
        </w:rPr>
        <w:t>高质量推进“五好”园区创建，全市园区规模工业增加值增长9.2%，</w:t>
      </w:r>
      <w:r>
        <w:rPr>
          <w:rFonts w:hint="eastAsia" w:ascii="Times New Roman" w:hAnsi="Times New Roman" w:eastAsia="仿宋_GB2312" w:cs="Times New Roman"/>
          <w:sz w:val="32"/>
          <w:szCs w:val="32"/>
          <w:u w:val="none"/>
          <w:lang w:val="en-US" w:eastAsia="zh-CN"/>
        </w:rPr>
        <w:t>园区规工企业实缴税收增长16.77%、亩均税收均增长8.5%（预计）。</w:t>
      </w:r>
      <w:r>
        <w:rPr>
          <w:rFonts w:hint="eastAsia" w:ascii="Times New Roman" w:hAnsi="Times New Roman" w:eastAsia="仿宋_GB2312" w:cs="Times New Roman"/>
          <w:b/>
          <w:bCs/>
          <w:sz w:val="32"/>
          <w:szCs w:val="32"/>
          <w:u w:val="none"/>
          <w:lang w:val="en-US" w:eastAsia="zh-CN"/>
        </w:rPr>
        <w:t>一</w:t>
      </w:r>
      <w:r>
        <w:rPr>
          <w:rFonts w:hint="eastAsia" w:ascii="Times New Roman" w:hAnsi="Times New Roman" w:eastAsia="仿宋_GB2312" w:cs="Times New Roman"/>
          <w:b/>
          <w:bCs/>
          <w:sz w:val="32"/>
          <w:szCs w:val="32"/>
          <w:lang w:val="en-US" w:eastAsia="zh-CN"/>
        </w:rPr>
        <w:t>是持续推进园区体制机制创新。</w:t>
      </w:r>
      <w:r>
        <w:rPr>
          <w:rFonts w:hint="eastAsia" w:ascii="Times New Roman" w:hAnsi="Times New Roman" w:eastAsia="仿宋_GB2312" w:cs="Times New Roman"/>
          <w:sz w:val="32"/>
          <w:szCs w:val="32"/>
          <w:lang w:val="en-US" w:eastAsia="zh-CN"/>
        </w:rPr>
        <w:t>一年召开两次高规格创建“五好”园区现场推进会，进一步传导压力、激发动力，营造竞相发展、比学赶超的浓厚氛围。推行“2+1+2”（书记、县长+第一书记+园区书记、主任）管理模式，扩大园区发展自主权，引导发展要素向园区倾斜。</w:t>
      </w:r>
      <w:r>
        <w:rPr>
          <w:rFonts w:hint="eastAsia" w:ascii="Times New Roman" w:hAnsi="Times New Roman" w:eastAsia="仿宋_GB2312" w:cs="Times New Roman"/>
          <w:b/>
          <w:bCs/>
          <w:sz w:val="32"/>
          <w:szCs w:val="32"/>
          <w:lang w:val="en-US" w:eastAsia="zh-CN"/>
        </w:rPr>
        <w:t>二是</w:t>
      </w:r>
      <w:r>
        <w:rPr>
          <w:rFonts w:hint="eastAsia" w:ascii="Times New Roman" w:hAnsi="Times New Roman" w:eastAsia="仿宋_GB2312"/>
          <w:b/>
          <w:bCs/>
          <w:sz w:val="32"/>
          <w:szCs w:val="32"/>
          <w:u w:val="none"/>
          <w:lang w:val="en-US" w:eastAsia="zh-CN"/>
        </w:rPr>
        <w:t>优化</w:t>
      </w:r>
      <w:r>
        <w:rPr>
          <w:rFonts w:hint="eastAsia" w:ascii="Times New Roman" w:hAnsi="Times New Roman" w:eastAsia="仿宋_GB2312"/>
          <w:b/>
          <w:bCs/>
          <w:sz w:val="32"/>
          <w:szCs w:val="32"/>
          <w:lang w:val="en-US" w:eastAsia="zh-CN"/>
        </w:rPr>
        <w:t>“主特”产业</w:t>
      </w:r>
      <w:r>
        <w:rPr>
          <w:rFonts w:hint="eastAsia" w:ascii="Times New Roman" w:hAnsi="Times New Roman" w:eastAsia="仿宋_GB2312"/>
          <w:b/>
          <w:bCs/>
          <w:sz w:val="32"/>
          <w:szCs w:val="32"/>
          <w:u w:val="none"/>
          <w:lang w:val="en-US" w:eastAsia="zh-CN"/>
        </w:rPr>
        <w:t>定位</w:t>
      </w:r>
      <w:r>
        <w:rPr>
          <w:rFonts w:hint="eastAsia" w:eastAsia="仿宋_GB2312"/>
          <w:b/>
          <w:bCs/>
          <w:sz w:val="32"/>
          <w:szCs w:val="32"/>
          <w:u w:val="none"/>
          <w:lang w:val="en-US" w:eastAsia="zh-CN"/>
        </w:rPr>
        <w:t>。</w:t>
      </w:r>
      <w:r>
        <w:rPr>
          <w:rFonts w:hint="eastAsia" w:ascii="Times New Roman" w:hAnsi="Times New Roman" w:eastAsia="仿宋_GB2312" w:cs="Times New Roman"/>
          <w:sz w:val="32"/>
          <w:szCs w:val="32"/>
          <w:lang w:val="en-US" w:eastAsia="zh-CN"/>
        </w:rPr>
        <w:t>注重系统谋划强化统筹，</w:t>
      </w:r>
      <w:r>
        <w:rPr>
          <w:rFonts w:hint="eastAsia" w:eastAsia="仿宋_GB2312"/>
          <w:sz w:val="32"/>
          <w:szCs w:val="32"/>
          <w:u w:val="none"/>
          <w:lang w:val="en-US" w:eastAsia="zh-CN"/>
        </w:rPr>
        <w:t>引导园区</w:t>
      </w:r>
      <w:r>
        <w:rPr>
          <w:rFonts w:hint="eastAsia" w:ascii="Times New Roman" w:hAnsi="Times New Roman" w:eastAsia="仿宋_GB2312" w:cs="Times New Roman"/>
          <w:sz w:val="32"/>
          <w:szCs w:val="32"/>
          <w:lang w:val="en-US" w:eastAsia="zh-CN"/>
        </w:rPr>
        <w:t>结合产业基础，选准细分领域，</w:t>
      </w:r>
      <w:r>
        <w:rPr>
          <w:rFonts w:hint="eastAsia" w:eastAsia="仿宋_GB2312"/>
          <w:sz w:val="32"/>
          <w:szCs w:val="32"/>
          <w:u w:val="none"/>
          <w:lang w:val="en-US" w:eastAsia="zh-CN"/>
        </w:rPr>
        <w:t>差异化、特色化发展。</w:t>
      </w:r>
      <w:r>
        <w:rPr>
          <w:rFonts w:hint="eastAsia" w:ascii="Times New Roman" w:hAnsi="Times New Roman" w:eastAsia="仿宋_GB2312" w:cs="Times New Roman"/>
          <w:b/>
          <w:bCs/>
          <w:sz w:val="32"/>
          <w:szCs w:val="32"/>
          <w:lang w:val="en-US" w:eastAsia="zh-CN"/>
        </w:rPr>
        <w:t>三是着力提升质效。</w:t>
      </w:r>
      <w:r>
        <w:rPr>
          <w:rFonts w:hint="eastAsia" w:ascii="Times New Roman" w:hAnsi="Times New Roman" w:eastAsia="仿宋_GB2312" w:cs="Times New Roman"/>
          <w:sz w:val="32"/>
          <w:szCs w:val="32"/>
          <w:lang w:val="en-US" w:eastAsia="zh-CN"/>
        </w:rPr>
        <w:t>倡导“亩均税收”改革，大力开展“三类”用地清理及国有闲置标准厂房处置。通过分类施策“腾笼换鸟”，引进百信锰业、振阳纺织盘活了闲置资产。永州经开区、冷水滩高科园、蓝山经开区、新田产业开发区4个园区规工企业实缴税收增幅均超50%，实现“增资增效不增地”。祁阳高新区“‘五好’园区”和“促进工业高质量发展”2项工作获省政府真抓实干督查激励。江华高新区《偏远山区的“五好”园区涅槃之路》典型经验，得到毛伟明省长的肯定批示并在全省推介。</w:t>
      </w:r>
    </w:p>
    <w:p w14:paraId="27419248">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楷体_GB2312" w:cs="Times New Roman"/>
          <w:b/>
          <w:bCs/>
          <w:i w:val="0"/>
          <w:caps w:val="0"/>
          <w:color w:val="000000"/>
          <w:spacing w:val="0"/>
          <w:w w:val="100"/>
          <w:kern w:val="0"/>
          <w:sz w:val="32"/>
          <w:szCs w:val="32"/>
          <w:lang w:val="en-US" w:eastAsia="zh-CN"/>
        </w:rPr>
        <w:t>6.数实融合取得新进展。</w:t>
      </w:r>
      <w:r>
        <w:rPr>
          <w:rFonts w:hint="eastAsia" w:ascii="Times New Roman" w:hAnsi="Times New Roman" w:eastAsia="仿宋_GB2312" w:cs="Times New Roman"/>
          <w:sz w:val="32"/>
          <w:szCs w:val="32"/>
          <w:lang w:val="en-US" w:eastAsia="zh-CN"/>
        </w:rPr>
        <w:t>坚持</w:t>
      </w:r>
      <w:r>
        <w:rPr>
          <w:rFonts w:hint="default" w:ascii="Times New Roman" w:hAnsi="Times New Roman" w:eastAsia="仿宋_GB2312" w:cs="Times New Roman"/>
          <w:sz w:val="32"/>
          <w:szCs w:val="32"/>
          <w:lang w:val="en-US" w:eastAsia="zh-CN"/>
        </w:rPr>
        <w:t>把</w:t>
      </w:r>
      <w:r>
        <w:rPr>
          <w:rFonts w:hint="eastAsia" w:ascii="Times New Roman" w:hAnsi="Times New Roman" w:eastAsia="仿宋_GB2312" w:cs="Times New Roman"/>
          <w:sz w:val="32"/>
          <w:szCs w:val="32"/>
          <w:lang w:val="en-US" w:eastAsia="zh-CN"/>
        </w:rPr>
        <w:t>纵深推进</w:t>
      </w:r>
      <w:r>
        <w:rPr>
          <w:rFonts w:hint="default" w:ascii="Times New Roman" w:hAnsi="Times New Roman" w:eastAsia="仿宋_GB2312" w:cs="Times New Roman"/>
          <w:sz w:val="32"/>
          <w:szCs w:val="32"/>
          <w:lang w:val="en-US" w:eastAsia="zh-CN"/>
        </w:rPr>
        <w:t>“智赋万企”行动作为推动企业数字化转型的主抓手，</w:t>
      </w:r>
      <w:r>
        <w:rPr>
          <w:rFonts w:hint="eastAsia" w:ascii="Times New Roman" w:hAnsi="Times New Roman" w:eastAsia="仿宋_GB2312" w:cs="Times New Roman"/>
          <w:sz w:val="32"/>
          <w:szCs w:val="32"/>
          <w:lang w:val="en-US" w:eastAsia="zh-CN"/>
        </w:rPr>
        <w:t>组建工作专班，落实“三进”要求，协同推进“智赋万企”见行见效。金箭新材料入选国家级智能制造优秀场景，新认定省智能制造标杆车间2个、省级工业互联网平台1个，入选省“数字新基建”100个标志性项目1个。上云上平台加速推</w:t>
      </w:r>
      <w:r>
        <w:rPr>
          <w:rFonts w:hint="eastAsia" w:ascii="Times New Roman" w:hAnsi="Times New Roman" w:eastAsia="仿宋_GB2312" w:cs="Times New Roman"/>
          <w:color w:val="000000"/>
          <w:sz w:val="32"/>
          <w:szCs w:val="32"/>
          <w:lang w:val="en-US" w:eastAsia="zh-CN"/>
        </w:rPr>
        <w:t>进，推动9064家企业“上云”、1171家企业“上平台”，新增省“上云上平台”标杆企业3家、两化融合管理体系贯标获证企业10家。力促企业投入智能制造改造资金4亿余元，打造智能制造企业46家、智能制造产线（车间）71条、智能工位458个。已向国家申报“千兆城市”，累计建成5G基站6458个，每万人拥有5G基站数14.9个。</w:t>
      </w:r>
    </w:p>
    <w:p w14:paraId="620EE215">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年来，全市工信系统围绕中心，服务大局，各项工作均取得新成效。我们坚持以党的政治建设为统领，以党的二十大精神为引领，切实把党建成效转化为推动工信各项工作的强大动力。扎实推进党风廉政建设，选举成立机关纪委，清廉工信扎实推进。落实意识形态工作责任制，政务信息工作保持在市直单位第一方阵。加强法治政府建设，配合开展《湖南省先进制造业促进条例》执法检查，开展各项政策法规宣传活动10余场。圆满完成重大活动、重要考试无线电安全、电力和通讯保障，查处无线电干扰3起。《为奋力打造先进制造业高地提供坚强人才支撑》获评全国人才工作创新优秀案例，工业经济运行监测协调工作获评全省先进单位。全力做好安全生产、信访维稳、保密、网络安全、军民融合、国防动员等工作，全年全市工信领域没有发生重大安全生产事故。“一户一表”改造、乡村振兴、建议提案办理、工青妇、离退休等各项工作都取得了新的成绩。各县市区和各有关单位围绕稳增长、强产业、育企业、建项目、优服务等开展了大量卓有成效的工作，为全市工业和信息化高质量发展作出了重要贡献。</w:t>
      </w:r>
    </w:p>
    <w:p w14:paraId="1581893D">
      <w:pPr>
        <w:keepNext w:val="0"/>
        <w:keepLines w:val="0"/>
        <w:pageBreakBefore w:val="0"/>
        <w:widowControl w:val="0"/>
        <w:numPr>
          <w:ilvl w:val="0"/>
          <w:numId w:val="7"/>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存在的问题及原因分析</w:t>
      </w:r>
    </w:p>
    <w:p w14:paraId="4FAE2618">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年初实施预算编制时，未将上级拨付资金未列入年初部门预算范畴，剔除政策性追加的人员经费外，其余市本级资金也采取年中调整预算的方式增拨经费，</w:t>
      </w:r>
      <w:r>
        <w:rPr>
          <w:rFonts w:hint="eastAsia" w:ascii="仿宋_GB2312" w:hAnsi="仿宋_GB2312" w:eastAsia="仿宋_GB2312" w:cs="仿宋_GB2312"/>
          <w:sz w:val="32"/>
          <w:szCs w:val="32"/>
          <w:lang w:val="en-US" w:eastAsia="zh-CN"/>
        </w:rPr>
        <w:t>从</w:t>
      </w:r>
      <w:r>
        <w:rPr>
          <w:rFonts w:hint="eastAsia" w:ascii="仿宋_GB2312" w:hAnsi="仿宋_GB2312" w:eastAsia="仿宋_GB2312" w:cs="仿宋_GB2312"/>
          <w:sz w:val="32"/>
          <w:szCs w:val="32"/>
        </w:rPr>
        <w:t>而导致预决算</w:t>
      </w:r>
      <w:r>
        <w:rPr>
          <w:rFonts w:hint="eastAsia" w:ascii="仿宋_GB2312" w:hAnsi="仿宋_GB2312" w:eastAsia="仿宋_GB2312" w:cs="仿宋_GB2312"/>
          <w:sz w:val="32"/>
          <w:szCs w:val="32"/>
          <w:lang w:val="en-US" w:eastAsia="zh-CN"/>
        </w:rPr>
        <w:t>有所</w:t>
      </w:r>
      <w:r>
        <w:rPr>
          <w:rFonts w:hint="eastAsia" w:ascii="仿宋_GB2312" w:hAnsi="仿宋_GB2312" w:eastAsia="仿宋_GB2312" w:cs="仿宋_GB2312"/>
          <w:sz w:val="32"/>
          <w:szCs w:val="32"/>
        </w:rPr>
        <w:t>差异。</w:t>
      </w:r>
    </w:p>
    <w:p w14:paraId="6AE0FD8C">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八、下一步改进措施</w:t>
      </w:r>
    </w:p>
    <w:p w14:paraId="2B8A1975">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进一步加强预算管理意识，严格按照预算编制的相关制度和要求，</w:t>
      </w:r>
      <w:r>
        <w:rPr>
          <w:rFonts w:hint="eastAsia" w:ascii="仿宋_GB2312" w:hAnsi="仿宋_GB2312" w:eastAsia="仿宋_GB2312" w:cs="仿宋_GB2312"/>
          <w:sz w:val="32"/>
          <w:szCs w:val="32"/>
          <w:lang w:val="en-US" w:eastAsia="zh-CN"/>
        </w:rPr>
        <w:t>围绕</w:t>
      </w:r>
      <w:r>
        <w:rPr>
          <w:rFonts w:hint="eastAsia" w:ascii="仿宋_GB2312" w:hAnsi="仿宋_GB2312" w:eastAsia="仿宋_GB2312" w:cs="仿宋_GB2312"/>
          <w:sz w:val="32"/>
          <w:szCs w:val="32"/>
        </w:rPr>
        <w:t>单位年度重点工作和项目专项工作规划，本着“勤俭节约、保障运转”的原则进行预算编制。</w:t>
      </w:r>
    </w:p>
    <w:p w14:paraId="2D8F08C9">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九、部门整体支出绩效自评结果拟应用和公开情况</w:t>
      </w:r>
    </w:p>
    <w:p w14:paraId="463B3231">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每年的部门预、决算，经市人大、市财政局按规定批复后，均按要求在市财政网向社会进行了主动公开。</w:t>
      </w:r>
    </w:p>
    <w:p w14:paraId="192FEABB">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十、其他需要说明的情况</w:t>
      </w:r>
    </w:p>
    <w:p w14:paraId="775F7FE4">
      <w:pPr>
        <w:keepNext w:val="0"/>
        <w:keepLines w:val="0"/>
        <w:pageBreakBefore w:val="0"/>
        <w:widowControl w:val="0"/>
        <w:numPr>
          <w:ilvl w:val="0"/>
          <w:numId w:val="0"/>
        </w:numPr>
        <w:pBdr>
          <w:bottom w:val="single" w:color="FFFFFF" w:sz="8" w:space="30"/>
        </w:pBdr>
        <w:shd w:val="clear" w:color="auto" w:fill="FFFFFF"/>
        <w:tabs>
          <w:tab w:val="left" w:pos="7980"/>
        </w:tabs>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baseline"/>
        <w:rPr>
          <w:rFonts w:cs="黑体" w:asciiTheme="minorEastAsia" w:hAnsiTheme="minorEastAsia"/>
          <w:color w:val="000000"/>
          <w:kern w:val="0"/>
          <w:sz w:val="32"/>
          <w:szCs w:val="32"/>
        </w:rPr>
      </w:pPr>
      <w:r>
        <w:rPr>
          <w:rFonts w:hint="eastAsia" w:ascii="仿宋_GB2312" w:hAnsi="仿宋_GB2312" w:eastAsia="仿宋_GB2312" w:cs="仿宋_GB2312"/>
          <w:sz w:val="32"/>
          <w:szCs w:val="32"/>
          <w:lang w:val="en-US" w:eastAsia="zh-CN"/>
        </w:rPr>
        <w:t>无。</w:t>
      </w:r>
    </w:p>
    <w:sectPr>
      <w:pgSz w:w="11906" w:h="16838"/>
      <w:pgMar w:top="1701" w:right="1417" w:bottom="1417" w:left="170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09E23">
    <w:pPr>
      <w:pStyle w:val="7"/>
      <w:ind w:right="360" w:firstLine="360"/>
      <w:rPr>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CF1800"/>
    <w:multiLevelType w:val="singleLevel"/>
    <w:tmpl w:val="A9CF1800"/>
    <w:lvl w:ilvl="0" w:tentative="0">
      <w:start w:val="3"/>
      <w:numFmt w:val="chineseCounting"/>
      <w:suff w:val="nothing"/>
      <w:lvlText w:val="（%1）"/>
      <w:lvlJc w:val="left"/>
      <w:rPr>
        <w:rFonts w:hint="eastAsia"/>
      </w:rPr>
    </w:lvl>
  </w:abstractNum>
  <w:abstractNum w:abstractNumId="1">
    <w:nsid w:val="AF13D6E4"/>
    <w:multiLevelType w:val="singleLevel"/>
    <w:tmpl w:val="AF13D6E4"/>
    <w:lvl w:ilvl="0" w:tentative="0">
      <w:start w:val="7"/>
      <w:numFmt w:val="chineseCounting"/>
      <w:suff w:val="nothing"/>
      <w:lvlText w:val="%1、"/>
      <w:lvlJc w:val="left"/>
      <w:rPr>
        <w:rFonts w:hint="eastAsia"/>
      </w:rPr>
    </w:lvl>
  </w:abstractNum>
  <w:abstractNum w:abstractNumId="2">
    <w:nsid w:val="E747BD8E"/>
    <w:multiLevelType w:val="singleLevel"/>
    <w:tmpl w:val="E747BD8E"/>
    <w:lvl w:ilvl="0" w:tentative="0">
      <w:start w:val="3"/>
      <w:numFmt w:val="decimal"/>
      <w:suff w:val="nothing"/>
      <w:lvlText w:val="%1、"/>
      <w:lvlJc w:val="left"/>
    </w:lvl>
  </w:abstractNum>
  <w:abstractNum w:abstractNumId="3">
    <w:nsid w:val="F56DB9B1"/>
    <w:multiLevelType w:val="singleLevel"/>
    <w:tmpl w:val="F56DB9B1"/>
    <w:lvl w:ilvl="0" w:tentative="0">
      <w:start w:val="3"/>
      <w:numFmt w:val="chineseCounting"/>
      <w:suff w:val="nothing"/>
      <w:lvlText w:val="%1、"/>
      <w:lvlJc w:val="left"/>
      <w:rPr>
        <w:rFonts w:hint="eastAsia"/>
      </w:rPr>
    </w:lvl>
  </w:abstractNum>
  <w:abstractNum w:abstractNumId="4">
    <w:nsid w:val="0B6DE1E8"/>
    <w:multiLevelType w:val="singleLevel"/>
    <w:tmpl w:val="0B6DE1E8"/>
    <w:lvl w:ilvl="0" w:tentative="0">
      <w:start w:val="9"/>
      <w:numFmt w:val="decimal"/>
      <w:suff w:val="nothing"/>
      <w:lvlText w:val="（%1）"/>
      <w:lvlJc w:val="left"/>
    </w:lvl>
  </w:abstractNum>
  <w:abstractNum w:abstractNumId="5">
    <w:nsid w:val="302B4F52"/>
    <w:multiLevelType w:val="singleLevel"/>
    <w:tmpl w:val="302B4F52"/>
    <w:lvl w:ilvl="0" w:tentative="0">
      <w:start w:val="5"/>
      <w:numFmt w:val="decimal"/>
      <w:suff w:val="nothing"/>
      <w:lvlText w:val="（%1）"/>
      <w:lvlJc w:val="left"/>
    </w:lvl>
  </w:abstractNum>
  <w:abstractNum w:abstractNumId="6">
    <w:nsid w:val="373518C1"/>
    <w:multiLevelType w:val="multilevel"/>
    <w:tmpl w:val="373518C1"/>
    <w:lvl w:ilvl="0" w:tentative="0">
      <w:start w:val="1"/>
      <w:numFmt w:val="none"/>
      <w:lvlText w:val="一、"/>
      <w:lvlJc w:val="left"/>
      <w:pPr>
        <w:ind w:left="1350" w:hanging="72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6"/>
  </w:num>
  <w:num w:numId="2">
    <w:abstractNumId w:val="2"/>
  </w:num>
  <w:num w:numId="3">
    <w:abstractNumId w:val="1"/>
  </w:num>
  <w:num w:numId="4">
    <w:abstractNumId w:val="5"/>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YWVmZGNmZjk5ZDg0NGE1ZmQzODk2YzRiMGFjNzM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13F14188"/>
    <w:rsid w:val="16464F6A"/>
    <w:rsid w:val="1A073B05"/>
    <w:rsid w:val="1D327C03"/>
    <w:rsid w:val="1D97DEFF"/>
    <w:rsid w:val="1DFF72E5"/>
    <w:rsid w:val="1EFC6F07"/>
    <w:rsid w:val="22837FA0"/>
    <w:rsid w:val="23C579E4"/>
    <w:rsid w:val="2C6D169B"/>
    <w:rsid w:val="2FDF85B8"/>
    <w:rsid w:val="2FFFEE04"/>
    <w:rsid w:val="34DF85B0"/>
    <w:rsid w:val="3B8E1539"/>
    <w:rsid w:val="3B8F36BC"/>
    <w:rsid w:val="44C73785"/>
    <w:rsid w:val="491FF225"/>
    <w:rsid w:val="4FFD214C"/>
    <w:rsid w:val="5777D4F5"/>
    <w:rsid w:val="59DD8326"/>
    <w:rsid w:val="5B743E4F"/>
    <w:rsid w:val="5C983D27"/>
    <w:rsid w:val="5DEF592A"/>
    <w:rsid w:val="5FC6BB1E"/>
    <w:rsid w:val="5FF720F1"/>
    <w:rsid w:val="60BF58FE"/>
    <w:rsid w:val="67FF5C0B"/>
    <w:rsid w:val="6B321752"/>
    <w:rsid w:val="6EFC0924"/>
    <w:rsid w:val="6FB74722"/>
    <w:rsid w:val="6FEF8B7E"/>
    <w:rsid w:val="71A6591B"/>
    <w:rsid w:val="737D59BA"/>
    <w:rsid w:val="747F536B"/>
    <w:rsid w:val="77B82D74"/>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560" w:lineRule="exact"/>
    </w:pPr>
    <w:rPr>
      <w:rFonts w:ascii="仿宋_GB2312" w:hAnsi="Calibri" w:eastAsia="仿宋_GB2312" w:cs="Times New Roman"/>
      <w:sz w:val="30"/>
      <w:szCs w:val="20"/>
    </w:rPr>
  </w:style>
  <w:style w:type="paragraph" w:styleId="3">
    <w:name w:val="Body Text First Indent"/>
    <w:basedOn w:val="2"/>
    <w:qFormat/>
    <w:uiPriority w:val="0"/>
    <w:pPr>
      <w:ind w:firstLine="664"/>
    </w:pPr>
    <w:rPr>
      <w:rFonts w:ascii="Times New Roman" w:hAnsi="Times New Roman" w:eastAsia="宋体" w:cs="Times New Roman"/>
    </w:rPr>
  </w:style>
  <w:style w:type="paragraph" w:styleId="4">
    <w:name w:val="Body Text Indent"/>
    <w:basedOn w:val="1"/>
    <w:next w:val="5"/>
    <w:unhideWhenUsed/>
    <w:qFormat/>
    <w:uiPriority w:val="99"/>
    <w:pPr>
      <w:widowControl/>
      <w:spacing w:after="120"/>
      <w:ind w:left="420" w:leftChars="200"/>
      <w:jc w:val="left"/>
    </w:pPr>
    <w:rPr>
      <w:rFonts w:ascii="宋体" w:hAnsi="宋体" w:eastAsia="宋体" w:cs="宋体"/>
      <w:kern w:val="0"/>
      <w:sz w:val="24"/>
    </w:rPr>
  </w:style>
  <w:style w:type="paragraph" w:styleId="5">
    <w:name w:val="Body Text First Indent 2"/>
    <w:basedOn w:val="4"/>
    <w:next w:val="1"/>
    <w:unhideWhenUsed/>
    <w:qFormat/>
    <w:uiPriority w:val="99"/>
    <w:pPr>
      <w:ind w:firstLine="420" w:firstLineChars="200"/>
    </w:pPr>
  </w:style>
  <w:style w:type="paragraph" w:styleId="6">
    <w:name w:val="Balloon Text"/>
    <w:basedOn w:val="1"/>
    <w:link w:val="16"/>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next w:val="5"/>
    <w:semiHidden/>
    <w:qFormat/>
    <w:uiPriority w:val="0"/>
    <w:pPr>
      <w:snapToGrid w:val="0"/>
      <w:jc w:val="left"/>
    </w:pPr>
    <w:rPr>
      <w:sz w:val="18"/>
      <w:szCs w:val="18"/>
    </w:rPr>
  </w:style>
  <w:style w:type="character" w:customStyle="1" w:styleId="12">
    <w:name w:val="页眉 Char"/>
    <w:basedOn w:val="11"/>
    <w:link w:val="8"/>
    <w:qFormat/>
    <w:uiPriority w:val="99"/>
    <w:rPr>
      <w:sz w:val="18"/>
      <w:szCs w:val="18"/>
    </w:rPr>
  </w:style>
  <w:style w:type="character" w:customStyle="1" w:styleId="13">
    <w:name w:val="页脚 Char"/>
    <w:basedOn w:val="11"/>
    <w:link w:val="7"/>
    <w:qFormat/>
    <w:uiPriority w:val="99"/>
    <w:rPr>
      <w:sz w:val="18"/>
      <w:szCs w:val="18"/>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Char"/>
    <w:basedOn w:val="11"/>
    <w:link w:val="6"/>
    <w:semiHidden/>
    <w:qFormat/>
    <w:uiPriority w:val="99"/>
    <w:rPr>
      <w:sz w:val="18"/>
      <w:szCs w:val="18"/>
    </w:rPr>
  </w:style>
  <w:style w:type="character" w:customStyle="1" w:styleId="17">
    <w:name w:val="font01"/>
    <w:basedOn w:val="11"/>
    <w:qFormat/>
    <w:uiPriority w:val="0"/>
    <w:rPr>
      <w:rFonts w:hint="eastAsia" w:ascii="宋体" w:hAnsi="宋体" w:eastAsia="宋体" w:cs="宋体"/>
      <w:color w:val="000000"/>
      <w:sz w:val="22"/>
      <w:szCs w:val="22"/>
      <w:u w:val="none"/>
    </w:rPr>
  </w:style>
  <w:style w:type="character" w:customStyle="1" w:styleId="18">
    <w:name w:val="font21"/>
    <w:basedOn w:val="11"/>
    <w:qFormat/>
    <w:uiPriority w:val="0"/>
    <w:rPr>
      <w:rFonts w:hint="eastAsia" w:ascii="宋体" w:hAnsi="宋体" w:eastAsia="宋体" w:cs="宋体"/>
      <w:color w:val="000000"/>
      <w:sz w:val="24"/>
      <w:szCs w:val="24"/>
      <w:u w:val="none"/>
    </w:rPr>
  </w:style>
  <w:style w:type="character" w:customStyle="1" w:styleId="19">
    <w:name w:val="font11"/>
    <w:basedOn w:val="11"/>
    <w:qFormat/>
    <w:uiPriority w:val="0"/>
    <w:rPr>
      <w:rFonts w:hint="eastAsia" w:ascii="宋体" w:hAnsi="宋体" w:eastAsia="宋体" w:cs="宋体"/>
      <w:color w:val="000000"/>
      <w:sz w:val="24"/>
      <w:szCs w:val="24"/>
      <w:u w:val="none"/>
    </w:rPr>
  </w:style>
  <w:style w:type="paragraph" w:customStyle="1" w:styleId="20">
    <w:name w:val="BodyText1I2"/>
    <w:basedOn w:val="21"/>
    <w:qFormat/>
    <w:uiPriority w:val="0"/>
    <w:pPr>
      <w:ind w:firstLine="200" w:firstLineChars="200"/>
    </w:pPr>
  </w:style>
  <w:style w:type="paragraph" w:customStyle="1" w:styleId="21">
    <w:name w:val="BodyTextIndent"/>
    <w:basedOn w:val="1"/>
    <w:qFormat/>
    <w:uiPriority w:val="0"/>
    <w:pPr>
      <w:spacing w:after="120"/>
      <w:ind w:left="200" w:leftChars="200"/>
    </w:pPr>
  </w:style>
  <w:style w:type="character" w:customStyle="1" w:styleId="22">
    <w:name w:val="UserStyle_0"/>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34</Pages>
  <Words>13410</Words>
  <Characters>14415</Characters>
  <Lines>63</Lines>
  <Paragraphs>18</Paragraphs>
  <TotalTime>15</TotalTime>
  <ScaleCrop>false</ScaleCrop>
  <LinksUpToDate>false</LinksUpToDate>
  <CharactersWithSpaces>14437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长安长安</cp:lastModifiedBy>
  <cp:lastPrinted>2024-09-24T07:49:00Z</cp:lastPrinted>
  <dcterms:modified xsi:type="dcterms:W3CDTF">2024-09-25T03:16:28Z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BA00F2F2E39F4FCAA7F8B537C1644552_12</vt:lpwstr>
  </property>
</Properties>
</file>