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479F3">
      <w:pPr>
        <w:pStyle w:val="14"/>
        <w:jc w:val="center"/>
        <w:rPr>
          <w:sz w:val="56"/>
          <w:szCs w:val="56"/>
        </w:rPr>
      </w:pPr>
      <w:r>
        <w:rPr>
          <w:sz w:val="56"/>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0F4EE81">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60288;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70F4EE81">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1E5C5B03">
      <w:pPr>
        <w:pStyle w:val="14"/>
        <w:jc w:val="center"/>
        <w:rPr>
          <w:sz w:val="56"/>
          <w:szCs w:val="56"/>
        </w:rPr>
      </w:pPr>
    </w:p>
    <w:p w14:paraId="3A8D4960">
      <w:pPr>
        <w:pStyle w:val="14"/>
        <w:jc w:val="center"/>
        <w:rPr>
          <w:sz w:val="84"/>
          <w:szCs w:val="84"/>
        </w:rPr>
      </w:pPr>
    </w:p>
    <w:p w14:paraId="27C2AAC0">
      <w:pPr>
        <w:pStyle w:val="14"/>
        <w:jc w:val="center"/>
        <w:rPr>
          <w:sz w:val="84"/>
          <w:szCs w:val="84"/>
        </w:rPr>
      </w:pPr>
    </w:p>
    <w:p w14:paraId="6AB690E5">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537089A5">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永州市工业和信息化局</w:t>
      </w:r>
      <w:r>
        <w:rPr>
          <w:rFonts w:hint="eastAsia" w:ascii="方正小标宋_GBK" w:hAnsi="方正小标宋_GBK" w:eastAsia="方正小标宋_GBK" w:cs="方正小标宋_GBK"/>
          <w:sz w:val="84"/>
          <w:szCs w:val="84"/>
        </w:rPr>
        <w:t>部门决算</w:t>
      </w:r>
    </w:p>
    <w:p w14:paraId="593C3E85">
      <w:pPr>
        <w:pStyle w:val="14"/>
        <w:jc w:val="center"/>
        <w:rPr>
          <w:rFonts w:hint="eastAsia" w:ascii="方正小标宋_GBK" w:hAnsi="方正小标宋_GBK" w:eastAsia="方正小标宋_GBK" w:cs="方正小标宋_GBK"/>
          <w:sz w:val="56"/>
          <w:szCs w:val="56"/>
        </w:rPr>
      </w:pPr>
    </w:p>
    <w:p w14:paraId="4AADEE26">
      <w:pPr>
        <w:pStyle w:val="14"/>
        <w:jc w:val="center"/>
        <w:rPr>
          <w:sz w:val="56"/>
          <w:szCs w:val="56"/>
        </w:rPr>
      </w:pPr>
    </w:p>
    <w:p w14:paraId="076C9772">
      <w:pPr>
        <w:pStyle w:val="14"/>
        <w:jc w:val="center"/>
        <w:rPr>
          <w:sz w:val="56"/>
          <w:szCs w:val="56"/>
        </w:rPr>
      </w:pPr>
    </w:p>
    <w:p w14:paraId="236B814E">
      <w:pPr>
        <w:pStyle w:val="14"/>
        <w:jc w:val="center"/>
        <w:rPr>
          <w:sz w:val="56"/>
          <w:szCs w:val="56"/>
        </w:rPr>
      </w:pPr>
    </w:p>
    <w:p w14:paraId="532B80C2">
      <w:pPr>
        <w:pStyle w:val="14"/>
        <w:spacing w:line="500" w:lineRule="exact"/>
        <w:jc w:val="both"/>
        <w:rPr>
          <w:b/>
          <w:sz w:val="36"/>
          <w:szCs w:val="28"/>
        </w:rPr>
      </w:pPr>
    </w:p>
    <w:p w14:paraId="2AE26C87">
      <w:pPr>
        <w:pStyle w:val="14"/>
        <w:keepNext w:val="0"/>
        <w:keepLines w:val="0"/>
        <w:pageBreakBefore w:val="0"/>
        <w:widowControl w:val="0"/>
        <w:kinsoku/>
        <w:wordWrap/>
        <w:overflowPunct/>
        <w:topLinePunct w:val="0"/>
        <w:bidi w:val="0"/>
        <w:snapToGrid/>
        <w:spacing w:line="440" w:lineRule="exact"/>
        <w:jc w:val="center"/>
        <w:textAlignment w:val="auto"/>
        <w:rPr>
          <w:b/>
          <w:sz w:val="36"/>
          <w:szCs w:val="28"/>
        </w:rPr>
      </w:pPr>
      <w:r>
        <w:rPr>
          <w:rFonts w:hint="eastAsia"/>
          <w:b/>
          <w:sz w:val="36"/>
          <w:szCs w:val="28"/>
        </w:rPr>
        <w:t>目录</w:t>
      </w:r>
    </w:p>
    <w:p w14:paraId="6E22BE47">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永州市工业和信息化局部门</w:t>
      </w:r>
      <w:r>
        <w:rPr>
          <w:rFonts w:hint="eastAsia" w:ascii="黑体" w:hAnsi="黑体" w:eastAsia="黑体" w:cs="黑体"/>
          <w:b w:val="0"/>
          <w:bCs/>
          <w:sz w:val="28"/>
          <w:szCs w:val="28"/>
        </w:rPr>
        <w:t>概况</w:t>
      </w:r>
    </w:p>
    <w:p w14:paraId="146B7D54">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54BA225">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3785DAD2">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766C993C">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C0884DF">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844751F">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7C0CA609">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523D19C">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2EB1443">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24E35C3">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AC29135">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05FED4B5">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082F37C2">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22FE94EF">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41C7DF6">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59E8B43">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7F81B60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321C39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48EC5EC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A90106E">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C4378A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8D32C7E">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18C1E99">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5742DA6">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2DED7E02">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B426B53">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530BAD7">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36B67ED3">
      <w:pPr>
        <w:pStyle w:val="14"/>
        <w:keepNext w:val="0"/>
        <w:keepLines w:val="0"/>
        <w:pageBreakBefore w:val="0"/>
        <w:widowControl w:val="0"/>
        <w:kinsoku/>
        <w:wordWrap/>
        <w:overflowPunct/>
        <w:topLinePunct w:val="0"/>
        <w:bidi w:val="0"/>
        <w:snapToGrid/>
        <w:spacing w:line="440" w:lineRule="exact"/>
        <w:textAlignment w:val="auto"/>
        <w:rPr>
          <w:sz w:val="72"/>
          <w:szCs w:val="72"/>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47570153">
      <w:pPr>
        <w:jc w:val="both"/>
        <w:rPr>
          <w:sz w:val="72"/>
          <w:szCs w:val="72"/>
        </w:rPr>
        <w:sectPr>
          <w:footerReference r:id="rId3" w:type="default"/>
          <w:pgSz w:w="11906" w:h="16838"/>
          <w:pgMar w:top="1701" w:right="1417" w:bottom="1417" w:left="1701" w:header="851" w:footer="992" w:gutter="0"/>
          <w:pgNumType w:fmt="decimal" w:start="1"/>
          <w:cols w:space="425" w:num="1"/>
          <w:docGrid w:type="lines" w:linePitch="312" w:charSpace="0"/>
        </w:sectPr>
      </w:pPr>
    </w:p>
    <w:p w14:paraId="2C62B824">
      <w:pPr>
        <w:pStyle w:val="2"/>
      </w:pPr>
    </w:p>
    <w:p w14:paraId="0C131791">
      <w:pPr>
        <w:rPr>
          <w:rFonts w:hint="eastAsia" w:ascii="方正小标宋_GBK" w:hAnsi="方正小标宋_GBK" w:eastAsia="方正小标宋_GBK" w:cs="方正小标宋_GBK"/>
          <w:sz w:val="72"/>
          <w:szCs w:val="72"/>
        </w:rPr>
      </w:pPr>
    </w:p>
    <w:p w14:paraId="569A21EB">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3D11AFA">
      <w:pPr>
        <w:pStyle w:val="14"/>
        <w:jc w:val="center"/>
        <w:rPr>
          <w:rFonts w:hint="eastAsia" w:ascii="方正小标宋_GBK" w:hAnsi="方正小标宋_GBK" w:eastAsia="方正小标宋_GBK" w:cs="方正小标宋_GBK"/>
          <w:sz w:val="84"/>
          <w:szCs w:val="84"/>
        </w:rPr>
      </w:pPr>
    </w:p>
    <w:p w14:paraId="5B8E82FD">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永州市工业和信息化局</w:t>
      </w:r>
      <w:r>
        <w:rPr>
          <w:rFonts w:hint="eastAsia" w:ascii="方正小标宋_GBK" w:hAnsi="方正小标宋_GBK" w:eastAsia="方正小标宋_GBK" w:cs="方正小标宋_GBK"/>
          <w:sz w:val="84"/>
          <w:szCs w:val="84"/>
          <w:lang w:eastAsia="zh-CN"/>
        </w:rPr>
        <w:t>部门</w:t>
      </w:r>
      <w:r>
        <w:rPr>
          <w:rFonts w:hint="eastAsia" w:ascii="方正小标宋_GBK" w:hAnsi="方正小标宋_GBK" w:eastAsia="方正小标宋_GBK" w:cs="方正小标宋_GBK"/>
          <w:sz w:val="84"/>
          <w:szCs w:val="84"/>
        </w:rPr>
        <w:t>概况</w:t>
      </w:r>
    </w:p>
    <w:p w14:paraId="65EBDB88">
      <w:pPr>
        <w:jc w:val="center"/>
        <w:rPr>
          <w:rFonts w:hint="eastAsia" w:ascii="方正小标宋_GBK" w:hAnsi="方正小标宋_GBK" w:eastAsia="方正小标宋_GBK" w:cs="方正小标宋_GBK"/>
          <w:sz w:val="72"/>
          <w:szCs w:val="72"/>
        </w:rPr>
      </w:pPr>
    </w:p>
    <w:p w14:paraId="16EEA152">
      <w:pPr>
        <w:jc w:val="center"/>
        <w:rPr>
          <w:rFonts w:hint="eastAsia" w:ascii="方正小标宋_GBK" w:hAnsi="方正小标宋_GBK" w:eastAsia="方正小标宋_GBK" w:cs="方正小标宋_GBK"/>
          <w:sz w:val="72"/>
          <w:szCs w:val="72"/>
        </w:rPr>
      </w:pPr>
    </w:p>
    <w:p w14:paraId="1193D7CC">
      <w:pPr>
        <w:jc w:val="center"/>
        <w:rPr>
          <w:sz w:val="72"/>
          <w:szCs w:val="72"/>
        </w:rPr>
      </w:pPr>
    </w:p>
    <w:p w14:paraId="500D5AB2">
      <w:pPr>
        <w:pStyle w:val="2"/>
      </w:pPr>
    </w:p>
    <w:p w14:paraId="4F70B485">
      <w:pPr>
        <w:jc w:val="both"/>
        <w:rPr>
          <w:sz w:val="72"/>
          <w:szCs w:val="72"/>
        </w:rPr>
      </w:pPr>
    </w:p>
    <w:p w14:paraId="54574C45">
      <w:pPr>
        <w:pStyle w:val="15"/>
        <w:numPr>
          <w:ilvl w:val="0"/>
          <w:numId w:val="1"/>
        </w:numPr>
        <w:ind w:left="1350" w:leftChars="0"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5B46952D">
      <w:pPr>
        <w:keepNext w:val="0"/>
        <w:keepLines w:val="0"/>
        <w:pageBreakBefore w:val="0"/>
        <w:kinsoku/>
        <w:wordWrap/>
        <w:overflowPunct/>
        <w:topLinePunct w:val="0"/>
        <w:bidi w:val="0"/>
        <w:adjustRightInd/>
        <w:snapToGrid/>
        <w:spacing w:line="560" w:lineRule="exact"/>
        <w:ind w:firstLine="640" w:firstLineChars="200"/>
        <w:jc w:val="left"/>
        <w:textAlignment w:val="auto"/>
        <w:rPr>
          <w:rFonts w:hint="eastAsia" w:ascii="楷体" w:hAnsi="楷体" w:eastAsia="楷体" w:cs="楷体"/>
          <w:b/>
          <w:bCs/>
          <w:kern w:val="0"/>
          <w:sz w:val="32"/>
          <w:szCs w:val="32"/>
        </w:rPr>
      </w:pPr>
      <w:r>
        <w:rPr>
          <w:rFonts w:hint="eastAsia" w:ascii="Times New Roman" w:hAnsi="Times New Roman" w:eastAsia="仿宋_GB2312" w:cs="仿宋_GB2312"/>
          <w:sz w:val="32"/>
          <w:szCs w:val="32"/>
        </w:rPr>
        <w:t>（一）</w:t>
      </w:r>
      <w:r>
        <w:rPr>
          <w:rFonts w:hint="eastAsia" w:ascii="楷体" w:hAnsi="楷体" w:eastAsia="楷体" w:cs="楷体"/>
          <w:b/>
          <w:bCs/>
          <w:kern w:val="0"/>
          <w:sz w:val="32"/>
          <w:szCs w:val="32"/>
        </w:rPr>
        <w:t>主要职能</w:t>
      </w:r>
    </w:p>
    <w:p w14:paraId="3CF0CABA">
      <w:pPr>
        <w:keepNext w:val="0"/>
        <w:keepLines w:val="0"/>
        <w:pageBreakBefore w:val="0"/>
        <w:kinsoku/>
        <w:wordWrap/>
        <w:overflowPunct/>
        <w:topLinePunct w:val="0"/>
        <w:autoSpaceDE w:val="0"/>
        <w:autoSpaceDN w:val="0"/>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仿宋_GB2312" w:hAnsi="仿宋_GB2312" w:eastAsia="仿宋_GB2312" w:cs="仿宋_GB2312"/>
          <w:bCs/>
          <w:kern w:val="0"/>
          <w:sz w:val="32"/>
          <w:szCs w:val="32"/>
        </w:rPr>
        <w:t>负责全市工业经济的日常运行调节，编制并组织实施近期工业经济运行调控目标、政策和措施；监测分析近期工业经济运行态势，统计并发布相关信息，进行预测预警和信息引导，协调解决经济运行中的突出矛盾和问题并提出政策建议。拟订全市新型工业化的发展战略、规划和相关政策措施并组织实施，协调解决有关重大问题；综合管理全市工业经济，指导、协调和服务工业企业；推进信息化和工业化融合；推进全市国民经济和社会信息化；承担全市国防科技工业的综合协调、军民融合推进工作</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承担全市无线电管理工作</w:t>
      </w:r>
      <w:r>
        <w:rPr>
          <w:rFonts w:hint="eastAsia" w:ascii="仿宋_GB2312" w:hAnsi="仿宋_GB2312" w:eastAsia="仿宋_GB2312" w:cs="仿宋_GB2312"/>
          <w:bCs/>
          <w:kern w:val="0"/>
          <w:sz w:val="32"/>
          <w:szCs w:val="32"/>
        </w:rPr>
        <w:t>。</w:t>
      </w:r>
    </w:p>
    <w:p w14:paraId="69B4347A">
      <w:pPr>
        <w:keepNext w:val="0"/>
        <w:keepLines w:val="0"/>
        <w:pageBreakBefore w:val="0"/>
        <w:kinsoku/>
        <w:wordWrap/>
        <w:overflowPunct/>
        <w:topLinePunct w:val="0"/>
        <w:bidi w:val="0"/>
        <w:adjustRightInd/>
        <w:snapToGrid/>
        <w:spacing w:line="560" w:lineRule="exact"/>
        <w:ind w:firstLine="640" w:firstLineChars="200"/>
        <w:jc w:val="left"/>
        <w:textAlignment w:val="auto"/>
        <w:rPr>
          <w:rFonts w:hint="eastAsia" w:ascii="楷体" w:hAnsi="楷体" w:eastAsia="楷体" w:cs="楷体"/>
          <w:b/>
          <w:bCs/>
          <w:sz w:val="32"/>
          <w:szCs w:val="32"/>
        </w:rPr>
      </w:pPr>
      <w:r>
        <w:rPr>
          <w:rFonts w:hint="eastAsia" w:ascii="Times New Roman" w:hAnsi="Times New Roman" w:eastAsia="仿宋_GB2312" w:cs="仿宋_GB2312"/>
          <w:sz w:val="32"/>
          <w:szCs w:val="32"/>
        </w:rPr>
        <w:t>（二）</w:t>
      </w:r>
      <w:r>
        <w:rPr>
          <w:rFonts w:hint="eastAsia" w:ascii="楷体" w:hAnsi="楷体" w:eastAsia="楷体" w:cs="楷体"/>
          <w:b/>
          <w:bCs/>
          <w:sz w:val="32"/>
          <w:szCs w:val="32"/>
        </w:rPr>
        <w:t>人员情况</w:t>
      </w:r>
    </w:p>
    <w:p w14:paraId="0CFBAECA">
      <w:pPr>
        <w:keepNext w:val="0"/>
        <w:keepLines w:val="0"/>
        <w:pageBreakBefore w:val="0"/>
        <w:widowControl/>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纳入</w:t>
      </w:r>
      <w:r>
        <w:rPr>
          <w:rFonts w:hint="eastAsia" w:ascii="仿宋_GB2312" w:hAnsi="仿宋_GB2312" w:eastAsia="仿宋_GB2312" w:cs="仿宋_GB2312"/>
          <w:bCs/>
          <w:kern w:val="0"/>
          <w:sz w:val="32"/>
          <w:szCs w:val="32"/>
        </w:rPr>
        <w:t>市工信局</w:t>
      </w:r>
      <w:r>
        <w:rPr>
          <w:rFonts w:hint="eastAsia" w:ascii="仿宋_GB2312" w:hAnsi="仿宋_GB2312" w:eastAsia="仿宋_GB2312" w:cs="仿宋_GB2312"/>
          <w:bCs/>
          <w:kern w:val="0"/>
          <w:sz w:val="32"/>
          <w:szCs w:val="32"/>
          <w:lang w:val="en-US" w:eastAsia="zh-CN"/>
        </w:rPr>
        <w:t>全额拨款</w:t>
      </w:r>
      <w:r>
        <w:rPr>
          <w:rFonts w:hint="eastAsia" w:ascii="仿宋_GB2312" w:hAnsi="仿宋_GB2312" w:eastAsia="仿宋_GB2312" w:cs="仿宋_GB2312"/>
          <w:bCs/>
          <w:kern w:val="0"/>
          <w:sz w:val="32"/>
          <w:szCs w:val="32"/>
        </w:rPr>
        <w:t>编制合计为</w:t>
      </w:r>
      <w:r>
        <w:rPr>
          <w:rFonts w:hint="eastAsia" w:ascii="仿宋_GB2312" w:hAnsi="仿宋_GB2312" w:eastAsia="仿宋_GB2312" w:cs="仿宋_GB2312"/>
          <w:bCs/>
          <w:kern w:val="0"/>
          <w:sz w:val="32"/>
          <w:szCs w:val="32"/>
          <w:lang w:val="en-US" w:eastAsia="zh-CN"/>
        </w:rPr>
        <w:t>64</w:t>
      </w:r>
      <w:r>
        <w:rPr>
          <w:rFonts w:hint="eastAsia" w:ascii="仿宋_GB2312" w:hAnsi="仿宋_GB2312" w:eastAsia="仿宋_GB2312" w:cs="仿宋_GB2312"/>
          <w:bCs/>
          <w:kern w:val="0"/>
          <w:sz w:val="32"/>
          <w:szCs w:val="32"/>
        </w:rPr>
        <w:t>个，其中：行政编制</w:t>
      </w:r>
      <w:r>
        <w:rPr>
          <w:rFonts w:hint="eastAsia" w:ascii="仿宋_GB2312" w:hAnsi="仿宋_GB2312" w:eastAsia="仿宋_GB2312" w:cs="仿宋_GB2312"/>
          <w:bCs/>
          <w:kern w:val="0"/>
          <w:sz w:val="32"/>
          <w:szCs w:val="32"/>
          <w:lang w:val="en-US" w:eastAsia="zh-CN"/>
        </w:rPr>
        <w:t>42</w:t>
      </w:r>
      <w:r>
        <w:rPr>
          <w:rFonts w:hint="eastAsia" w:ascii="仿宋_GB2312" w:hAnsi="仿宋_GB2312" w:eastAsia="仿宋_GB2312" w:cs="仿宋_GB2312"/>
          <w:bCs/>
          <w:kern w:val="0"/>
          <w:sz w:val="32"/>
          <w:szCs w:val="32"/>
        </w:rPr>
        <w:t>个，</w:t>
      </w:r>
      <w:r>
        <w:rPr>
          <w:rFonts w:hint="eastAsia" w:ascii="仿宋_GB2312" w:hAnsi="仿宋_GB2312" w:eastAsia="仿宋_GB2312" w:cs="仿宋_GB2312"/>
          <w:bCs/>
          <w:kern w:val="0"/>
          <w:sz w:val="32"/>
          <w:szCs w:val="32"/>
          <w:lang w:val="en-US" w:eastAsia="zh-CN"/>
        </w:rPr>
        <w:t>机关</w:t>
      </w:r>
      <w:r>
        <w:rPr>
          <w:rFonts w:hint="eastAsia" w:ascii="仿宋_GB2312" w:hAnsi="仿宋_GB2312" w:eastAsia="仿宋_GB2312" w:cs="仿宋_GB2312"/>
          <w:bCs/>
          <w:kern w:val="0"/>
          <w:sz w:val="32"/>
          <w:szCs w:val="32"/>
        </w:rPr>
        <w:t>工勤编制1个，全额拨款事业单位编制</w:t>
      </w:r>
      <w:r>
        <w:rPr>
          <w:rFonts w:hint="eastAsia" w:ascii="仿宋_GB2312" w:hAnsi="仿宋_GB2312" w:eastAsia="仿宋_GB2312" w:cs="仿宋_GB2312"/>
          <w:bCs/>
          <w:kern w:val="0"/>
          <w:sz w:val="32"/>
          <w:szCs w:val="32"/>
          <w:lang w:val="en-US" w:eastAsia="zh-CN"/>
        </w:rPr>
        <w:t>21</w:t>
      </w:r>
      <w:r>
        <w:rPr>
          <w:rFonts w:hint="eastAsia" w:ascii="仿宋_GB2312" w:hAnsi="仿宋_GB2312" w:eastAsia="仿宋_GB2312" w:cs="仿宋_GB2312"/>
          <w:bCs/>
          <w:kern w:val="0"/>
          <w:sz w:val="32"/>
          <w:szCs w:val="32"/>
        </w:rPr>
        <w:t>个（</w:t>
      </w:r>
      <w:r>
        <w:rPr>
          <w:rFonts w:hint="eastAsia" w:ascii="仿宋_GB2312" w:hAnsi="仿宋_GB2312" w:eastAsia="仿宋_GB2312" w:cs="仿宋_GB2312"/>
          <w:bCs/>
          <w:kern w:val="0"/>
          <w:sz w:val="32"/>
          <w:szCs w:val="32"/>
          <w:lang w:val="en-US" w:eastAsia="zh-CN"/>
        </w:rPr>
        <w:t>其中</w:t>
      </w:r>
      <w:r>
        <w:rPr>
          <w:rFonts w:hint="eastAsia" w:ascii="仿宋_GB2312" w:hAnsi="仿宋_GB2312" w:eastAsia="仿宋_GB2312" w:cs="仿宋_GB2312"/>
          <w:bCs/>
          <w:kern w:val="0"/>
          <w:sz w:val="32"/>
          <w:szCs w:val="32"/>
        </w:rPr>
        <w:t>市民营经济发展服务中心</w:t>
      </w:r>
      <w:r>
        <w:rPr>
          <w:rFonts w:hint="eastAsia" w:ascii="仿宋_GB2312" w:hAnsi="仿宋_GB2312" w:eastAsia="仿宋_GB2312" w:cs="仿宋_GB2312"/>
          <w:bCs/>
          <w:kern w:val="0"/>
          <w:sz w:val="32"/>
          <w:szCs w:val="32"/>
          <w:lang w:val="en-US" w:eastAsia="zh-CN"/>
        </w:rPr>
        <w:t>18个，市无线电监测站3个</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2023年末</w:t>
      </w:r>
      <w:r>
        <w:rPr>
          <w:rFonts w:hint="eastAsia" w:ascii="仿宋_GB2312" w:hAnsi="仿宋_GB2312" w:eastAsia="仿宋_GB2312" w:cs="仿宋_GB2312"/>
          <w:bCs/>
          <w:kern w:val="0"/>
          <w:sz w:val="32"/>
          <w:szCs w:val="32"/>
        </w:rPr>
        <w:t>实有人数</w:t>
      </w:r>
      <w:r>
        <w:rPr>
          <w:rFonts w:hint="eastAsia" w:ascii="仿宋_GB2312" w:hAnsi="仿宋_GB2312" w:eastAsia="仿宋_GB2312" w:cs="仿宋_GB2312"/>
          <w:bCs/>
          <w:kern w:val="0"/>
          <w:sz w:val="32"/>
          <w:szCs w:val="32"/>
          <w:lang w:val="en-US" w:eastAsia="zh-CN"/>
        </w:rPr>
        <w:t>63名</w:t>
      </w:r>
      <w:r>
        <w:rPr>
          <w:rFonts w:hint="eastAsia" w:ascii="仿宋_GB2312" w:hAnsi="仿宋_GB2312" w:eastAsia="仿宋_GB2312" w:cs="仿宋_GB2312"/>
          <w:bCs/>
          <w:kern w:val="0"/>
          <w:sz w:val="32"/>
          <w:szCs w:val="32"/>
        </w:rPr>
        <w:t>（不含4名临聘人员），其中：</w:t>
      </w:r>
      <w:r>
        <w:rPr>
          <w:rFonts w:hint="eastAsia" w:ascii="仿宋_GB2312" w:hAnsi="仿宋_GB2312" w:eastAsia="仿宋_GB2312" w:cs="仿宋_GB2312"/>
          <w:bCs/>
          <w:kern w:val="0"/>
          <w:sz w:val="32"/>
          <w:szCs w:val="32"/>
          <w:lang w:val="en-US" w:eastAsia="zh-CN"/>
        </w:rPr>
        <w:t>行政人员39</w:t>
      </w:r>
      <w:r>
        <w:rPr>
          <w:rFonts w:hint="eastAsia" w:ascii="仿宋_GB2312" w:hAnsi="仿宋_GB2312" w:eastAsia="仿宋_GB2312" w:cs="仿宋_GB2312"/>
          <w:bCs/>
          <w:kern w:val="0"/>
          <w:sz w:val="32"/>
          <w:szCs w:val="32"/>
        </w:rPr>
        <w:t>名，参照公务员法管理事业人员</w:t>
      </w:r>
      <w:r>
        <w:rPr>
          <w:rFonts w:hint="eastAsia" w:ascii="仿宋_GB2312" w:hAnsi="仿宋_GB2312" w:eastAsia="仿宋_GB2312" w:cs="仿宋_GB2312"/>
          <w:bCs/>
          <w:kern w:val="0"/>
          <w:sz w:val="32"/>
          <w:szCs w:val="32"/>
          <w:lang w:val="en-US" w:eastAsia="zh-CN"/>
        </w:rPr>
        <w:t>2人</w:t>
      </w:r>
      <w:r>
        <w:rPr>
          <w:rFonts w:hint="eastAsia" w:ascii="仿宋_GB2312" w:hAnsi="仿宋_GB2312" w:eastAsia="仿宋_GB2312" w:cs="仿宋_GB2312"/>
          <w:bCs/>
          <w:kern w:val="0"/>
          <w:sz w:val="32"/>
          <w:szCs w:val="32"/>
          <w:lang w:eastAsia="zh-CN"/>
        </w:rPr>
        <w:t>，非参公事业人员</w:t>
      </w:r>
      <w:r>
        <w:rPr>
          <w:rFonts w:hint="eastAsia" w:ascii="仿宋_GB2312" w:hAnsi="仿宋_GB2312" w:eastAsia="仿宋_GB2312" w:cs="仿宋_GB2312"/>
          <w:bCs/>
          <w:kern w:val="0"/>
          <w:sz w:val="32"/>
          <w:szCs w:val="32"/>
          <w:lang w:val="en-US" w:eastAsia="zh-CN"/>
        </w:rPr>
        <w:t>22名</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离退休人员</w:t>
      </w:r>
      <w:r>
        <w:rPr>
          <w:rFonts w:hint="eastAsia" w:ascii="仿宋_GB2312" w:hAnsi="仿宋_GB2312" w:eastAsia="仿宋_GB2312" w:cs="仿宋_GB2312"/>
          <w:bCs/>
          <w:kern w:val="0"/>
          <w:sz w:val="32"/>
          <w:szCs w:val="32"/>
          <w:lang w:val="en-US" w:eastAsia="zh-CN"/>
        </w:rPr>
        <w:t>48</w:t>
      </w:r>
      <w:r>
        <w:rPr>
          <w:rFonts w:hint="eastAsia" w:ascii="仿宋_GB2312" w:hAnsi="仿宋_GB2312" w:eastAsia="仿宋_GB2312" w:cs="仿宋_GB2312"/>
          <w:bCs/>
          <w:kern w:val="0"/>
          <w:sz w:val="32"/>
          <w:szCs w:val="32"/>
        </w:rPr>
        <w:t>名。</w:t>
      </w:r>
    </w:p>
    <w:p w14:paraId="7C8A3CFD">
      <w:pPr>
        <w:widowControl/>
        <w:spacing w:line="600" w:lineRule="exact"/>
        <w:ind w:firstLine="640" w:firstLineChars="200"/>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73F74B17">
      <w:pPr>
        <w:pStyle w:val="15"/>
        <w:keepNext w:val="0"/>
        <w:keepLines w:val="0"/>
        <w:pageBreakBefore w:val="0"/>
        <w:kinsoku/>
        <w:wordWrap/>
        <w:overflowPunct/>
        <w:topLinePunct w:val="0"/>
        <w:autoSpaceDE w:val="0"/>
        <w:autoSpaceDN w:val="0"/>
        <w:bidi w:val="0"/>
        <w:adjustRightInd/>
        <w:snapToGrid/>
        <w:spacing w:line="560" w:lineRule="exact"/>
        <w:ind w:firstLine="640"/>
        <w:textAlignment w:val="auto"/>
        <w:rPr>
          <w:rFonts w:hint="eastAsia" w:ascii="仿宋_GB2312" w:hAnsi="仿宋_GB2312"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仿宋_GB2312" w:hAnsi="仿宋_GB2312" w:eastAsia="仿宋_GB2312" w:cs="仿宋_GB2312"/>
          <w:bCs/>
          <w:kern w:val="0"/>
          <w:sz w:val="32"/>
          <w:szCs w:val="32"/>
          <w:lang w:eastAsia="zh-CN"/>
        </w:rPr>
        <w:t>永州市工业和信息化局</w:t>
      </w:r>
      <w:r>
        <w:rPr>
          <w:rFonts w:hint="eastAsia" w:ascii="仿宋_GB2312" w:hAnsi="仿宋_GB2312" w:eastAsia="仿宋_GB2312" w:cs="仿宋_GB2312"/>
          <w:bCs/>
          <w:kern w:val="0"/>
          <w:sz w:val="32"/>
          <w:szCs w:val="32"/>
        </w:rPr>
        <w:t>为正处级单位</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单位内设机构包括：办公室、综合法规科、人事科、电子信息产业科、信息化推进科、经济运行监测科、</w:t>
      </w:r>
      <w:r>
        <w:rPr>
          <w:rFonts w:hint="eastAsia" w:ascii="仿宋_GB2312" w:hAnsi="仿宋_GB2312" w:eastAsia="仿宋_GB2312" w:cs="仿宋_GB2312"/>
          <w:bCs/>
          <w:kern w:val="0"/>
          <w:sz w:val="32"/>
          <w:szCs w:val="32"/>
          <w:lang w:val="en-US" w:eastAsia="zh-CN"/>
        </w:rPr>
        <w:t>投资规划科</w:t>
      </w:r>
      <w:r>
        <w:rPr>
          <w:rFonts w:hint="eastAsia" w:ascii="仿宋_GB2312" w:hAnsi="仿宋_GB2312" w:eastAsia="仿宋_GB2312" w:cs="仿宋_GB2312"/>
          <w:bCs/>
          <w:kern w:val="0"/>
          <w:sz w:val="32"/>
          <w:szCs w:val="32"/>
        </w:rPr>
        <w:t>、工业园区管理科、消费品工业科、装备工业科、科技和人工智能科、节能与综合利用科、军民融合产业科、中小企业和非公经济管理服务科、能源运行科、产业政策和合作交流科、</w:t>
      </w:r>
      <w:r>
        <w:rPr>
          <w:rFonts w:hint="eastAsia" w:ascii="仿宋_GB2312" w:hAnsi="仿宋_GB2312" w:eastAsia="仿宋_GB2312" w:cs="仿宋_GB2312"/>
          <w:bCs/>
          <w:kern w:val="0"/>
          <w:sz w:val="32"/>
          <w:szCs w:val="32"/>
          <w:lang w:val="en-US" w:eastAsia="zh-CN"/>
        </w:rPr>
        <w:t>原材料工业科</w:t>
      </w:r>
      <w:r>
        <w:rPr>
          <w:rFonts w:hint="eastAsia" w:ascii="仿宋_GB2312" w:hAnsi="仿宋_GB2312" w:eastAsia="仿宋_GB2312" w:cs="仿宋_GB2312"/>
          <w:bCs/>
          <w:kern w:val="0"/>
          <w:sz w:val="32"/>
          <w:szCs w:val="32"/>
        </w:rPr>
        <w:t>、市委军民融合发展委员会办公室秘书科</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无线电管理科</w:t>
      </w:r>
      <w:r>
        <w:rPr>
          <w:rFonts w:hint="eastAsia" w:ascii="仿宋_GB2312" w:hAnsi="仿宋_GB2312" w:eastAsia="仿宋_GB2312" w:cs="仿宋_GB2312"/>
          <w:bCs/>
          <w:kern w:val="0"/>
          <w:sz w:val="32"/>
          <w:szCs w:val="32"/>
        </w:rPr>
        <w:t>等1</w:t>
      </w:r>
      <w:r>
        <w:rPr>
          <w:rFonts w:hint="eastAsia" w:ascii="仿宋_GB2312" w:hAnsi="仿宋_GB2312" w:eastAsia="仿宋_GB2312" w:cs="仿宋_GB2312"/>
          <w:bCs/>
          <w:kern w:val="0"/>
          <w:sz w:val="32"/>
          <w:szCs w:val="32"/>
          <w:lang w:val="en-US" w:eastAsia="zh-CN"/>
        </w:rPr>
        <w:t>9</w:t>
      </w:r>
      <w:r>
        <w:rPr>
          <w:rFonts w:hint="eastAsia" w:ascii="仿宋_GB2312" w:hAnsi="仿宋_GB2312" w:eastAsia="仿宋_GB2312" w:cs="仿宋_GB2312"/>
          <w:bCs/>
          <w:kern w:val="0"/>
          <w:sz w:val="32"/>
          <w:szCs w:val="32"/>
        </w:rPr>
        <w:t>个科室，另设机关党委。归口管理市工业企业改制服务办公室、市无线电</w:t>
      </w:r>
      <w:r>
        <w:rPr>
          <w:rFonts w:hint="eastAsia" w:ascii="仿宋_GB2312" w:hAnsi="仿宋_GB2312" w:eastAsia="仿宋_GB2312" w:cs="仿宋_GB2312"/>
          <w:bCs/>
          <w:kern w:val="0"/>
          <w:sz w:val="32"/>
          <w:szCs w:val="32"/>
          <w:lang w:val="en-US" w:eastAsia="zh-CN"/>
        </w:rPr>
        <w:t>监测站</w:t>
      </w:r>
      <w:r>
        <w:rPr>
          <w:rFonts w:hint="eastAsia" w:ascii="仿宋_GB2312" w:hAnsi="仿宋_GB2312" w:eastAsia="仿宋_GB2312" w:cs="仿宋_GB2312"/>
          <w:bCs/>
          <w:kern w:val="0"/>
          <w:sz w:val="32"/>
          <w:szCs w:val="32"/>
        </w:rPr>
        <w:t>、市民营经济发展服务中心等单位</w:t>
      </w:r>
      <w:r>
        <w:rPr>
          <w:rFonts w:hint="eastAsia" w:ascii="仿宋_GB2312" w:hAnsi="仿宋_GB2312" w:eastAsia="仿宋_GB2312" w:cs="仿宋_GB2312"/>
          <w:bCs/>
          <w:kern w:val="0"/>
          <w:sz w:val="32"/>
          <w:szCs w:val="32"/>
          <w:lang w:eastAsia="zh-CN"/>
        </w:rPr>
        <w:t>（含原煤炭物</w:t>
      </w:r>
      <w:r>
        <w:rPr>
          <w:rFonts w:hint="eastAsia" w:ascii="仿宋_GB2312" w:hAnsi="仿宋_GB2312" w:eastAsia="仿宋_GB2312" w:cs="仿宋_GB2312"/>
          <w:bCs/>
          <w:kern w:val="0"/>
          <w:sz w:val="32"/>
          <w:szCs w:val="32"/>
          <w:lang w:val="en-US" w:eastAsia="zh-CN"/>
        </w:rPr>
        <w:t>资</w:t>
      </w:r>
      <w:r>
        <w:rPr>
          <w:rFonts w:hint="eastAsia" w:ascii="仿宋_GB2312" w:hAnsi="仿宋_GB2312" w:eastAsia="仿宋_GB2312" w:cs="仿宋_GB2312"/>
          <w:bCs/>
          <w:kern w:val="0"/>
          <w:sz w:val="32"/>
          <w:szCs w:val="32"/>
          <w:lang w:eastAsia="zh-CN"/>
        </w:rPr>
        <w:t>供应站）</w:t>
      </w:r>
      <w:r>
        <w:rPr>
          <w:rFonts w:hint="eastAsia" w:ascii="仿宋_GB2312" w:hAnsi="仿宋_GB2312" w:eastAsia="仿宋_GB2312" w:cs="仿宋_GB2312"/>
          <w:bCs/>
          <w:kern w:val="0"/>
          <w:sz w:val="32"/>
          <w:szCs w:val="32"/>
        </w:rPr>
        <w:t>。</w:t>
      </w:r>
    </w:p>
    <w:p w14:paraId="4F3029C1">
      <w:pPr>
        <w:widowControl/>
        <w:spacing w:line="600" w:lineRule="exact"/>
        <w:ind w:firstLine="640" w:firstLineChars="200"/>
        <w:rPr>
          <w:rFonts w:hint="eastAsia" w:ascii="仿宋_GB2312" w:hAnsi="仿宋_GB2312" w:eastAsia="仿宋_GB2312" w:cs="仿宋_GB2312"/>
          <w:sz w:val="72"/>
          <w:szCs w:val="72"/>
        </w:rPr>
      </w:pPr>
      <w:r>
        <w:rPr>
          <w:rFonts w:hint="eastAsia" w:ascii="Times New Roman" w:hAnsi="Times New Roman" w:eastAsia="仿宋_GB2312" w:cs="仿宋_GB2312"/>
          <w:bCs/>
          <w:kern w:val="0"/>
          <w:sz w:val="32"/>
          <w:szCs w:val="32"/>
        </w:rPr>
        <w:t>（二）决算单位构成。</w:t>
      </w:r>
      <w:r>
        <w:rPr>
          <w:rFonts w:hint="eastAsia" w:ascii="仿宋_GB2312" w:hAnsi="仿宋_GB2312" w:eastAsia="仿宋_GB2312" w:cs="仿宋_GB2312"/>
          <w:bCs/>
          <w:kern w:val="0"/>
          <w:sz w:val="32"/>
          <w:szCs w:val="32"/>
        </w:rPr>
        <w:t>市工信局</w:t>
      </w:r>
      <w:r>
        <w:rPr>
          <w:rFonts w:hint="eastAsia" w:ascii="仿宋_GB2312" w:hAnsi="仿宋_GB2312" w:eastAsia="仿宋_GB2312" w:cs="仿宋_GB2312"/>
          <w:bCs/>
          <w:kern w:val="0"/>
          <w:sz w:val="32"/>
          <w:szCs w:val="32"/>
          <w:lang w:val="en-US" w:eastAsia="zh-CN"/>
        </w:rPr>
        <w:t>2023</w:t>
      </w:r>
      <w:r>
        <w:rPr>
          <w:rFonts w:hint="eastAsia" w:ascii="仿宋_GB2312" w:hAnsi="仿宋_GB2312" w:eastAsia="仿宋_GB2312" w:cs="仿宋_GB2312"/>
          <w:bCs/>
          <w:kern w:val="0"/>
          <w:sz w:val="32"/>
          <w:szCs w:val="32"/>
        </w:rPr>
        <w:t>年部门决算汇总公开单位构成包括：</w:t>
      </w:r>
      <w:r>
        <w:rPr>
          <w:rFonts w:hint="eastAsia" w:ascii="仿宋_GB2312" w:hAnsi="仿宋_GB2312" w:eastAsia="仿宋_GB2312" w:cs="仿宋_GB2312"/>
          <w:bCs/>
          <w:kern w:val="0"/>
          <w:sz w:val="32"/>
          <w:szCs w:val="32"/>
          <w:lang w:eastAsia="zh-CN"/>
        </w:rPr>
        <w:t>永州市工业和信息化</w:t>
      </w:r>
      <w:r>
        <w:rPr>
          <w:rFonts w:hint="eastAsia" w:ascii="仿宋_GB2312" w:hAnsi="仿宋_GB2312" w:eastAsia="仿宋_GB2312" w:cs="仿宋_GB2312"/>
          <w:bCs/>
          <w:kern w:val="0"/>
          <w:sz w:val="32"/>
          <w:szCs w:val="32"/>
        </w:rPr>
        <w:t>局单位本级以及归口管理的市民营经济发展服务中心</w:t>
      </w:r>
      <w:r>
        <w:rPr>
          <w:rFonts w:hint="eastAsia" w:ascii="仿宋_GB2312" w:hAnsi="仿宋_GB2312" w:eastAsia="仿宋_GB2312" w:cs="仿宋_GB2312"/>
          <w:bCs/>
          <w:kern w:val="0"/>
          <w:sz w:val="32"/>
          <w:szCs w:val="32"/>
          <w:lang w:eastAsia="zh-CN"/>
        </w:rPr>
        <w:t>（含原煤炭物</w:t>
      </w:r>
      <w:r>
        <w:rPr>
          <w:rFonts w:hint="eastAsia" w:ascii="仿宋_GB2312" w:hAnsi="仿宋_GB2312" w:eastAsia="仿宋_GB2312" w:cs="仿宋_GB2312"/>
          <w:bCs/>
          <w:kern w:val="0"/>
          <w:sz w:val="32"/>
          <w:szCs w:val="32"/>
          <w:lang w:val="en-US" w:eastAsia="zh-CN"/>
        </w:rPr>
        <w:t>资</w:t>
      </w:r>
      <w:r>
        <w:rPr>
          <w:rFonts w:hint="eastAsia" w:ascii="仿宋_GB2312" w:hAnsi="仿宋_GB2312" w:eastAsia="仿宋_GB2312" w:cs="仿宋_GB2312"/>
          <w:bCs/>
          <w:kern w:val="0"/>
          <w:sz w:val="32"/>
          <w:szCs w:val="32"/>
          <w:lang w:eastAsia="zh-CN"/>
        </w:rPr>
        <w:t>供应站）、</w:t>
      </w:r>
      <w:r>
        <w:rPr>
          <w:rFonts w:hint="eastAsia" w:ascii="仿宋_GB2312" w:hAnsi="仿宋_GB2312" w:eastAsia="仿宋_GB2312" w:cs="仿宋_GB2312"/>
          <w:bCs/>
          <w:kern w:val="0"/>
          <w:sz w:val="32"/>
          <w:szCs w:val="32"/>
          <w:lang w:val="en-US" w:eastAsia="zh-CN"/>
        </w:rPr>
        <w:t>市无线电监测站</w:t>
      </w:r>
      <w:r>
        <w:rPr>
          <w:rFonts w:hint="eastAsia" w:ascii="仿宋_GB2312" w:hAnsi="仿宋_GB2312" w:eastAsia="仿宋_GB2312" w:cs="仿宋_GB2312"/>
          <w:bCs/>
          <w:kern w:val="0"/>
          <w:sz w:val="32"/>
          <w:szCs w:val="32"/>
          <w:lang w:eastAsia="zh-CN"/>
        </w:rPr>
        <w:t>。</w:t>
      </w:r>
    </w:p>
    <w:p w14:paraId="2BA0606C">
      <w:pPr>
        <w:widowControl/>
        <w:spacing w:line="600" w:lineRule="exact"/>
        <w:ind w:firstLine="640" w:firstLineChars="200"/>
        <w:rPr>
          <w:rFonts w:hint="eastAsia" w:ascii="Times New Roman" w:hAnsi="Times New Roman" w:eastAsia="仿宋_GB2312" w:cs="仿宋_GB2312"/>
          <w:bCs/>
          <w:kern w:val="0"/>
          <w:sz w:val="32"/>
          <w:szCs w:val="32"/>
        </w:rPr>
      </w:pPr>
    </w:p>
    <w:p w14:paraId="7D5CDC9A">
      <w:pPr>
        <w:jc w:val="left"/>
        <w:rPr>
          <w:rFonts w:ascii="仿宋_GB2312" w:eastAsia="仿宋_GB2312" w:hAnsiTheme="minorEastAsia"/>
          <w:sz w:val="28"/>
          <w:szCs w:val="32"/>
        </w:rPr>
      </w:pPr>
    </w:p>
    <w:p w14:paraId="661D273F">
      <w:pPr>
        <w:jc w:val="both"/>
        <w:rPr>
          <w:rFonts w:ascii="黑体" w:hAnsi="黑体" w:eastAsia="黑体"/>
          <w:sz w:val="28"/>
          <w:szCs w:val="28"/>
        </w:rPr>
      </w:pPr>
    </w:p>
    <w:p w14:paraId="2161AE5B">
      <w:pPr>
        <w:jc w:val="both"/>
        <w:rPr>
          <w:sz w:val="72"/>
          <w:szCs w:val="72"/>
        </w:rPr>
      </w:pPr>
    </w:p>
    <w:p w14:paraId="5E5F78B0">
      <w:pPr>
        <w:pStyle w:val="14"/>
        <w:jc w:val="center"/>
        <w:rPr>
          <w:rFonts w:hint="eastAsia" w:ascii="方正小标宋_GBK" w:hAnsi="方正小标宋_GBK" w:eastAsia="方正小标宋_GBK" w:cs="方正小标宋_GBK"/>
          <w:sz w:val="84"/>
          <w:szCs w:val="84"/>
        </w:rPr>
      </w:pPr>
    </w:p>
    <w:p w14:paraId="33C57311">
      <w:pPr>
        <w:pStyle w:val="14"/>
        <w:jc w:val="center"/>
        <w:rPr>
          <w:rFonts w:hint="eastAsia" w:ascii="方正小标宋_GBK" w:hAnsi="方正小标宋_GBK" w:eastAsia="方正小标宋_GBK" w:cs="方正小标宋_GBK"/>
          <w:sz w:val="84"/>
          <w:szCs w:val="84"/>
        </w:rPr>
      </w:pPr>
    </w:p>
    <w:p w14:paraId="6E5C3CD1">
      <w:pPr>
        <w:pStyle w:val="14"/>
        <w:jc w:val="center"/>
        <w:rPr>
          <w:rFonts w:hint="eastAsia" w:ascii="方正小标宋_GBK" w:hAnsi="方正小标宋_GBK" w:eastAsia="方正小标宋_GBK" w:cs="方正小标宋_GBK"/>
          <w:sz w:val="84"/>
          <w:szCs w:val="84"/>
        </w:rPr>
      </w:pPr>
    </w:p>
    <w:p w14:paraId="19A98F11">
      <w:pPr>
        <w:pStyle w:val="14"/>
        <w:jc w:val="center"/>
        <w:rPr>
          <w:rFonts w:hint="eastAsia" w:ascii="方正小标宋_GBK" w:hAnsi="方正小标宋_GBK" w:eastAsia="方正小标宋_GBK" w:cs="方正小标宋_GBK"/>
          <w:sz w:val="84"/>
          <w:szCs w:val="84"/>
        </w:rPr>
      </w:pPr>
    </w:p>
    <w:p w14:paraId="42AEAD70">
      <w:pPr>
        <w:pStyle w:val="14"/>
        <w:jc w:val="center"/>
        <w:rPr>
          <w:rFonts w:hint="eastAsia" w:ascii="方正小标宋_GBK" w:hAnsi="方正小标宋_GBK" w:eastAsia="方正小标宋_GBK" w:cs="方正小标宋_GBK"/>
          <w:sz w:val="84"/>
          <w:szCs w:val="84"/>
        </w:rPr>
      </w:pPr>
    </w:p>
    <w:p w14:paraId="3BBB7498">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20CE549F">
      <w:pPr>
        <w:pStyle w:val="14"/>
        <w:jc w:val="center"/>
        <w:rPr>
          <w:rFonts w:hint="eastAsia" w:ascii="方正小标宋_GBK" w:hAnsi="方正小标宋_GBK" w:eastAsia="方正小标宋_GBK" w:cs="方正小标宋_GBK"/>
          <w:sz w:val="84"/>
          <w:szCs w:val="84"/>
        </w:rPr>
      </w:pPr>
    </w:p>
    <w:p w14:paraId="1BCE166B">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6F445B29">
      <w:pPr>
        <w:jc w:val="center"/>
        <w:rPr>
          <w:sz w:val="72"/>
          <w:szCs w:val="72"/>
        </w:rPr>
      </w:pPr>
    </w:p>
    <w:p w14:paraId="467D4C65">
      <w:pPr>
        <w:jc w:val="center"/>
        <w:rPr>
          <w:rFonts w:hint="eastAsia" w:eastAsiaTheme="minorEastAsia"/>
          <w:sz w:val="72"/>
          <w:szCs w:val="72"/>
          <w:lang w:val="en-US" w:eastAsia="zh-CN"/>
        </w:rPr>
      </w:pPr>
      <w:r>
        <w:rPr>
          <w:rFonts w:hint="eastAsia"/>
          <w:sz w:val="72"/>
          <w:szCs w:val="72"/>
          <w:lang w:val="en-US" w:eastAsia="zh-CN"/>
        </w:rPr>
        <w:t>见附件</w:t>
      </w:r>
    </w:p>
    <w:p w14:paraId="4F697FCD">
      <w:pPr>
        <w:jc w:val="center"/>
        <w:rPr>
          <w:sz w:val="72"/>
          <w:szCs w:val="72"/>
        </w:rPr>
      </w:pPr>
    </w:p>
    <w:p w14:paraId="78D96A3B">
      <w:pPr>
        <w:pStyle w:val="14"/>
        <w:rPr>
          <w:sz w:val="72"/>
          <w:szCs w:val="72"/>
        </w:rPr>
      </w:pPr>
    </w:p>
    <w:p w14:paraId="5FADE239">
      <w:pPr>
        <w:pStyle w:val="14"/>
        <w:rPr>
          <w:sz w:val="72"/>
          <w:szCs w:val="72"/>
        </w:rPr>
      </w:pPr>
    </w:p>
    <w:p w14:paraId="076A4A1C">
      <w:pPr>
        <w:pStyle w:val="14"/>
        <w:rPr>
          <w:sz w:val="72"/>
          <w:szCs w:val="72"/>
        </w:rPr>
      </w:pPr>
    </w:p>
    <w:p w14:paraId="79145A28">
      <w:pPr>
        <w:pStyle w:val="14"/>
        <w:jc w:val="center"/>
        <w:rPr>
          <w:sz w:val="72"/>
          <w:szCs w:val="72"/>
        </w:rPr>
      </w:pPr>
    </w:p>
    <w:p w14:paraId="466A5696">
      <w:pPr>
        <w:pStyle w:val="14"/>
        <w:jc w:val="center"/>
        <w:rPr>
          <w:rFonts w:hint="eastAsia" w:ascii="方正小标宋_GBK" w:hAnsi="方正小标宋_GBK" w:eastAsia="方正小标宋_GBK" w:cs="方正小标宋_GBK"/>
          <w:sz w:val="72"/>
          <w:szCs w:val="72"/>
        </w:rPr>
      </w:pPr>
    </w:p>
    <w:p w14:paraId="20A27569">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04D74DDF">
      <w:pPr>
        <w:pStyle w:val="14"/>
        <w:jc w:val="both"/>
        <w:rPr>
          <w:rFonts w:hint="eastAsia" w:ascii="方正小标宋_GBK" w:hAnsi="方正小标宋_GBK" w:eastAsia="方正小标宋_GBK" w:cs="方正小标宋_GBK"/>
          <w:sz w:val="70"/>
          <w:szCs w:val="70"/>
        </w:rPr>
      </w:pPr>
    </w:p>
    <w:p w14:paraId="58D53DA9">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w:t>
      </w:r>
    </w:p>
    <w:p w14:paraId="1EA8A339">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说明</w:t>
      </w:r>
    </w:p>
    <w:p w14:paraId="3D8B02D6">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4658D4D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2D91607E">
      <w:pPr>
        <w:pStyle w:val="14"/>
        <w:keepNext w:val="0"/>
        <w:keepLines w:val="0"/>
        <w:pageBreakBefore w:val="0"/>
        <w:widowControl w:val="0"/>
        <w:kinsoku/>
        <w:wordWrap/>
        <w:overflowPunct/>
        <w:topLinePunct w:val="0"/>
        <w:bidi w:val="0"/>
        <w:snapToGrid/>
        <w:spacing w:line="600" w:lineRule="exact"/>
        <w:ind w:firstLine="640" w:firstLineChars="200"/>
        <w:jc w:val="both"/>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2659.91</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1455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120.75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2023年度专精特新“小巨人”企业奖励资金、新增规模工业企业奖励资金、无线电管理经费等专项经费</w:t>
      </w:r>
      <w:r>
        <w:rPr>
          <w:rFonts w:hint="eastAsia" w:ascii="Times New Roman" w:hAnsi="Times New Roman" w:eastAsia="仿宋_GB2312"/>
          <w:sz w:val="32"/>
          <w:szCs w:val="32"/>
        </w:rPr>
        <w:t>收、支</w:t>
      </w:r>
      <w:r>
        <w:rPr>
          <w:rFonts w:hint="eastAsia" w:ascii="Times New Roman" w:hAnsi="Times New Roman" w:eastAsia="仿宋_GB2312"/>
          <w:sz w:val="32"/>
          <w:szCs w:val="32"/>
          <w:lang w:val="en-US" w:eastAsia="zh-CN"/>
        </w:rPr>
        <w:t>增加。</w:t>
      </w:r>
    </w:p>
    <w:p w14:paraId="35BDE4D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6E4A9B49">
      <w:pPr>
        <w:pStyle w:val="14"/>
        <w:keepNext w:val="0"/>
        <w:keepLines w:val="0"/>
        <w:pageBreakBefore w:val="0"/>
        <w:widowControl w:val="0"/>
        <w:kinsoku/>
        <w:wordWrap/>
        <w:overflowPunct/>
        <w:topLinePunct w:val="0"/>
        <w:bidi w:val="0"/>
        <w:snapToGrid/>
        <w:spacing w:line="60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2659.91万</w:t>
      </w:r>
      <w:r>
        <w:rPr>
          <w:rFonts w:hint="eastAsia" w:ascii="Times New Roman" w:hAnsi="Times New Roman" w:eastAsia="仿宋_GB2312"/>
          <w:sz w:val="32"/>
          <w:szCs w:val="32"/>
        </w:rPr>
        <w:t>元，其中：财政拨款收入</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97.83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57.63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2.17</w:t>
      </w:r>
      <w:r>
        <w:rPr>
          <w:rFonts w:hint="eastAsia" w:ascii="Times New Roman" w:hAnsi="Times New Roman" w:eastAsia="仿宋_GB2312"/>
          <w:sz w:val="32"/>
          <w:szCs w:val="32"/>
        </w:rPr>
        <w:t>%。</w:t>
      </w:r>
    </w:p>
    <w:p w14:paraId="46E0CB8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544FD0FE">
      <w:pPr>
        <w:pStyle w:val="14"/>
        <w:keepNext w:val="0"/>
        <w:keepLines w:val="0"/>
        <w:pageBreakBefore w:val="0"/>
        <w:widowControl w:val="0"/>
        <w:kinsoku/>
        <w:wordWrap/>
        <w:overflowPunct/>
        <w:topLinePunct w:val="0"/>
        <w:bidi w:val="0"/>
        <w:snapToGrid/>
        <w:spacing w:line="60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2659.91</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1394.73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52.44</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1265.18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47.56</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4BE5FAD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9BDE6CE">
      <w:pPr>
        <w:pStyle w:val="14"/>
        <w:keepNext w:val="0"/>
        <w:keepLines w:val="0"/>
        <w:pageBreakBefore w:val="0"/>
        <w:widowControl w:val="0"/>
        <w:kinsoku/>
        <w:wordWrap/>
        <w:overflowPunct/>
        <w:topLinePunct w:val="0"/>
        <w:bidi w:val="0"/>
        <w:snapToGrid/>
        <w:spacing w:line="600" w:lineRule="exact"/>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1415.26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119.23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2023年度专精特新“小巨人”企业奖励资金、新增规模工业企业奖励资金、无线电管理经费等专项经费</w:t>
      </w:r>
      <w:r>
        <w:rPr>
          <w:rFonts w:hint="eastAsia" w:ascii="Times New Roman" w:hAnsi="Times New Roman" w:eastAsia="仿宋_GB2312"/>
          <w:sz w:val="32"/>
          <w:szCs w:val="32"/>
        </w:rPr>
        <w:t>收、支</w:t>
      </w:r>
      <w:r>
        <w:rPr>
          <w:rFonts w:hint="eastAsia" w:ascii="Times New Roman" w:hAnsi="Times New Roman" w:eastAsia="仿宋_GB2312"/>
          <w:sz w:val="32"/>
          <w:szCs w:val="32"/>
          <w:lang w:val="en-US" w:eastAsia="zh-CN"/>
        </w:rPr>
        <w:t>增加。</w:t>
      </w:r>
    </w:p>
    <w:p w14:paraId="07FBE59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218471C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53E4F6D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97.83</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1415.26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119.23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2023年度专精特新“小巨人”企业奖励资金、新增规模工业企业奖励资金、无线电管理经费等专项支出增加。</w:t>
      </w:r>
    </w:p>
    <w:p w14:paraId="369E8632">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677EB6D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2.89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科学技术</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社会保障和就业（类）支出313.69万元，占12.05%；卫生健康（类）支出45.6万元，占1.75%；资源勘探工业信息等（类）支出2153.1万元，占82.74%；住房保障（类）支出83.51万元，占3.21%。</w:t>
      </w:r>
    </w:p>
    <w:p w14:paraId="4A72B92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3E82932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1104.34</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235.64</w:t>
      </w:r>
      <w:r>
        <w:rPr>
          <w:rFonts w:hint="eastAsia" w:ascii="Times New Roman" w:hAnsi="Times New Roman" w:eastAsia="仿宋_GB2312"/>
          <w:sz w:val="32"/>
          <w:szCs w:val="32"/>
        </w:rPr>
        <w:t>%，其中：</w:t>
      </w:r>
    </w:p>
    <w:p w14:paraId="51FF59B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1、一般公共服务（类）其他一般公共服务（款）其他一般公共服务（项）。</w:t>
      </w:r>
    </w:p>
    <w:p w14:paraId="6BB605E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2.89</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该支出系年中预算执行追加的会议费。</w:t>
      </w:r>
    </w:p>
    <w:p w14:paraId="707AECB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2、一般公共服务（类）其他科学技术（款）其他科学技术（项）。</w:t>
      </w:r>
    </w:p>
    <w:p w14:paraId="04AA6D9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该支出系年中预算执行追加的全市优秀企业家慰问资金。</w:t>
      </w:r>
    </w:p>
    <w:p w14:paraId="7D3A92AC">
      <w:pPr>
        <w:pStyle w:val="14"/>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社会保障和就业（类）抚恤（款）死亡抚恤（项）。</w:t>
      </w:r>
    </w:p>
    <w:p w14:paraId="23B870E1">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52.25</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该支出系死亡抚恤，属不可预见性支出，年初未纳入部门预算。</w:t>
      </w:r>
    </w:p>
    <w:p w14:paraId="08EEACCB">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社会保障和就业（类）行政事业单位养老（款）其他行政事业单位养老（项）。</w:t>
      </w:r>
    </w:p>
    <w:p w14:paraId="462803FA">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100.78万元，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该支出系退休人员生活补贴，纳入全市大预算，年初未纳入部门预算。</w:t>
      </w:r>
    </w:p>
    <w:p w14:paraId="3129EEA3">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社会保障和就业（类）行政事业单位养老（款）机关事业单位基本养老保险缴费（项）。</w:t>
      </w:r>
    </w:p>
    <w:p w14:paraId="75E5DC0B">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75.99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160.66万元，</w:t>
      </w:r>
      <w:r>
        <w:rPr>
          <w:rFonts w:hint="eastAsia" w:ascii="仿宋_GB2312" w:hAnsi="仿宋_GB2312" w:eastAsia="仿宋_GB2312" w:cs="仿宋_GB2312"/>
          <w:sz w:val="32"/>
          <w:szCs w:val="32"/>
        </w:rPr>
        <w:t>完成年初预算的</w:t>
      </w:r>
      <w:r>
        <w:rPr>
          <w:rFonts w:hint="eastAsia" w:ascii="仿宋_GB2312" w:hAnsi="仿宋_GB2312" w:eastAsia="仿宋_GB2312" w:cs="仿宋_GB2312"/>
          <w:sz w:val="32"/>
          <w:szCs w:val="32"/>
          <w:lang w:val="en-US" w:eastAsia="zh-CN"/>
        </w:rPr>
        <w:t>211.42</w:t>
      </w:r>
      <w:r>
        <w:rPr>
          <w:rFonts w:hint="eastAsia" w:ascii="仿宋_GB2312" w:hAnsi="仿宋_GB2312" w:eastAsia="仿宋_GB2312" w:cs="仿宋_GB2312"/>
          <w:sz w:val="32"/>
          <w:szCs w:val="32"/>
        </w:rPr>
        <w:t>%，</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政策变更，养老保险缴费基数变更，养老保险缴费支出增加。</w:t>
      </w:r>
    </w:p>
    <w:p w14:paraId="13A35E0F">
      <w:pPr>
        <w:pStyle w:val="14"/>
        <w:keepNext w:val="0"/>
        <w:keepLines w:val="0"/>
        <w:pageBreakBefore w:val="0"/>
        <w:widowControl w:val="0"/>
        <w:numPr>
          <w:ilvl w:val="0"/>
          <w:numId w:val="2"/>
        </w:numPr>
        <w:kinsoku/>
        <w:wordWrap/>
        <w:overflowPunct/>
        <w:topLinePunct w:val="0"/>
        <w:autoSpaceDE w:val="0"/>
        <w:autoSpaceDN w:val="0"/>
        <w:bidi w:val="0"/>
        <w:snapToGrid/>
        <w:spacing w:line="520" w:lineRule="exact"/>
        <w:ind w:left="0" w:leftChars="0"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卫生健康（类）行政事业单位医疗（款） 公务员医疗补助（项）。</w:t>
      </w:r>
    </w:p>
    <w:p w14:paraId="48F8AC2B">
      <w:pPr>
        <w:pStyle w:val="14"/>
        <w:keepNext w:val="0"/>
        <w:keepLines w:val="0"/>
        <w:pageBreakBefore w:val="0"/>
        <w:widowControl w:val="0"/>
        <w:numPr>
          <w:ilvl w:val="0"/>
          <w:numId w:val="0"/>
        </w:numPr>
        <w:kinsoku/>
        <w:wordWrap/>
        <w:overflowPunct/>
        <w:topLinePunct w:val="0"/>
        <w:autoSpaceDE w:val="0"/>
        <w:autoSpaceDN w:val="0"/>
        <w:bidi w:val="0"/>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3.71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的原因主要为：该经费主要为公务员医疗补助，属不可预见性支出，年初未纳入预算。</w:t>
      </w:r>
    </w:p>
    <w:p w14:paraId="420576B4">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卫生健康（类）行政事业单位医疗（款）行政单位医疗（项）。</w:t>
      </w:r>
    </w:p>
    <w:p w14:paraId="31F34E29">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年初预算为41.32万元，支出决算为41.89万元，完成年初预算的101.38%，</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的原因主要为：新调入人员，行政单位医疗保险缴费支出增加。</w:t>
      </w:r>
    </w:p>
    <w:p w14:paraId="6B5758FA">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住房保障（类）住房改革（款）住房公积金（项）。</w:t>
      </w:r>
    </w:p>
    <w:p w14:paraId="487F08AF">
      <w:pPr>
        <w:pStyle w:val="14"/>
        <w:keepNext w:val="0"/>
        <w:keepLines w:val="0"/>
        <w:pageBreakBefore w:val="0"/>
        <w:widowControl w:val="0"/>
        <w:numPr>
          <w:ilvl w:val="0"/>
          <w:numId w:val="0"/>
        </w:numPr>
        <w:kinsoku/>
        <w:wordWrap/>
        <w:overflowPunct/>
        <w:topLinePunct w:val="0"/>
        <w:bidi w:val="0"/>
        <w:snapToGrid/>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年初预算为83.07万元，支出决算为83.51万元，完成年初预算的100.53%，</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的原因主要为：新调入人员，住房公积金缴费支出增加。</w:t>
      </w:r>
    </w:p>
    <w:p w14:paraId="626DBE6A">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资源勘探工业信息等支出（类）制造业（款）行政运行（项）。</w:t>
      </w:r>
    </w:p>
    <w:p w14:paraId="69B120FA">
      <w:pPr>
        <w:pStyle w:val="14"/>
        <w:keepNext w:val="0"/>
        <w:keepLines w:val="0"/>
        <w:pageBreakBefore w:val="0"/>
        <w:widowControl w:val="0"/>
        <w:numPr>
          <w:ilvl w:val="0"/>
          <w:numId w:val="0"/>
        </w:numPr>
        <w:kinsoku/>
        <w:wordWrap/>
        <w:overflowPunct/>
        <w:topLinePunct w:val="0"/>
        <w:bidi w:val="0"/>
        <w:snapToGrid/>
        <w:spacing w:line="600" w:lineRule="exact"/>
        <w:ind w:firstLine="640"/>
        <w:jc w:val="both"/>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lang w:val="en-US" w:eastAsia="zh-CN"/>
        </w:rPr>
        <w:t>年初预算为0万元，支出决算为85.48万元，因年初无预算，故无法计算完成预算比例，决算数大于年初预算数的主要原</w:t>
      </w:r>
      <w:r>
        <w:rPr>
          <w:rFonts w:hint="eastAsia" w:ascii="Times New Roman" w:hAnsi="Times New Roman" w:eastAsia="仿宋_GB2312"/>
          <w:sz w:val="32"/>
          <w:szCs w:val="32"/>
        </w:rPr>
        <w:t>因是：</w:t>
      </w:r>
      <w:r>
        <w:rPr>
          <w:rFonts w:hint="eastAsia" w:ascii="Times New Roman" w:hAnsi="Times New Roman" w:eastAsia="仿宋_GB2312"/>
          <w:sz w:val="32"/>
          <w:szCs w:val="32"/>
          <w:lang w:val="en-US" w:eastAsia="zh-CN"/>
        </w:rPr>
        <w:t>该支出系年中预算执行追加的绩效奖。</w:t>
      </w:r>
    </w:p>
    <w:p w14:paraId="36496C1E">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资源勘探工业信息等支出（类）其他资源勘探工业信息等支出（款）其他资源勘探工业信息等支出（项）。</w:t>
      </w:r>
    </w:p>
    <w:p w14:paraId="663F49CC">
      <w:pPr>
        <w:pStyle w:val="14"/>
        <w:keepNext w:val="0"/>
        <w:keepLines w:val="0"/>
        <w:pageBreakBefore w:val="0"/>
        <w:widowControl w:val="0"/>
        <w:kinsoku/>
        <w:wordWrap/>
        <w:overflowPunct/>
        <w:topLinePunct w:val="0"/>
        <w:bidi w:val="0"/>
        <w:snapToGrid/>
        <w:spacing w:line="600" w:lineRule="exact"/>
        <w:ind w:firstLine="640"/>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lang w:val="en-US" w:eastAsia="zh-CN"/>
        </w:rPr>
        <w:t>年初预算为903.95万元，支出决算为1856.75万元，完成年初预算的205.4%，</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w:t>
      </w:r>
      <w:r>
        <w:rPr>
          <w:rFonts w:hint="eastAsia" w:ascii="Times New Roman" w:hAnsi="Times New Roman" w:eastAsia="仿宋_GB2312"/>
          <w:sz w:val="32"/>
          <w:szCs w:val="32"/>
          <w:lang w:val="en-US" w:eastAsia="zh-CN"/>
        </w:rPr>
        <w:t>2023年度预算执行追加了专精特新“小巨人”企业奖励资金、新增规模工业企业奖励资金、无线电管理经费等专项支出。</w:t>
      </w:r>
    </w:p>
    <w:p w14:paraId="27E41E13">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资源勘探工业信息等支出（类）制造业（款）其他制造业支出（项）。</w:t>
      </w:r>
    </w:p>
    <w:p w14:paraId="1D2A9904">
      <w:pPr>
        <w:pStyle w:val="14"/>
        <w:keepNext w:val="0"/>
        <w:keepLines w:val="0"/>
        <w:pageBreakBefore w:val="0"/>
        <w:widowControl w:val="0"/>
        <w:numPr>
          <w:ilvl w:val="0"/>
          <w:numId w:val="0"/>
        </w:numPr>
        <w:kinsoku/>
        <w:wordWrap/>
        <w:overflowPunct/>
        <w:topLinePunct w:val="0"/>
        <w:bidi w:val="0"/>
        <w:snapToGrid/>
        <w:spacing w:line="60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年初预算为0万元，支出决算为210.86万元，因年初无预算，故无法计算完成预算比例，决算数大于年初预算数的主要原</w:t>
      </w:r>
      <w:r>
        <w:rPr>
          <w:rFonts w:hint="eastAsia" w:ascii="Times New Roman" w:hAnsi="Times New Roman" w:eastAsia="仿宋_GB2312"/>
          <w:sz w:val="32"/>
          <w:szCs w:val="32"/>
        </w:rPr>
        <w:t>因是：</w:t>
      </w:r>
      <w:r>
        <w:rPr>
          <w:rFonts w:hint="eastAsia" w:ascii="Times New Roman" w:hAnsi="Times New Roman" w:eastAsia="仿宋_GB2312"/>
          <w:sz w:val="32"/>
          <w:szCs w:val="32"/>
          <w:lang w:val="en-US" w:eastAsia="zh-CN"/>
        </w:rPr>
        <w:t>该支出系上级转移支付资金，年初未纳入部门预算。</w:t>
      </w:r>
    </w:p>
    <w:p w14:paraId="1C4CA180">
      <w:pPr>
        <w:pStyle w:val="14"/>
        <w:keepNext w:val="0"/>
        <w:keepLines w:val="0"/>
        <w:pageBreakBefore w:val="0"/>
        <w:widowControl w:val="0"/>
        <w:numPr>
          <w:ilvl w:val="0"/>
          <w:numId w:val="0"/>
        </w:numPr>
        <w:kinsoku/>
        <w:wordWrap/>
        <w:overflowPunct/>
        <w:topLinePunct w:val="0"/>
        <w:bidi w:val="0"/>
        <w:snapToGrid/>
        <w:spacing w:line="600" w:lineRule="exact"/>
        <w:ind w:firstLine="64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4FDDA1A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1394.74</w:t>
      </w:r>
      <w:r>
        <w:rPr>
          <w:rFonts w:hint="eastAsia" w:ascii="Times New Roman" w:hAnsi="Times New Roman" w:eastAsia="仿宋_GB2312"/>
          <w:sz w:val="32"/>
          <w:szCs w:val="32"/>
        </w:rPr>
        <w:t>万元，其中：</w:t>
      </w:r>
    </w:p>
    <w:p w14:paraId="404FDA83">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1245.13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89.27</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val="en-US" w:eastAsia="zh-CN"/>
        </w:rPr>
        <w:t>绩效工资、</w:t>
      </w:r>
      <w:r>
        <w:rPr>
          <w:rFonts w:hint="eastAsia" w:ascii="Times New Roman" w:hAnsi="Times New Roman" w:eastAsia="仿宋_GB2312"/>
          <w:sz w:val="32"/>
          <w:szCs w:val="32"/>
        </w:rPr>
        <w:t>机关事业单位基本养老保险缴费</w:t>
      </w:r>
      <w:r>
        <w:rPr>
          <w:rFonts w:hint="eastAsia" w:ascii="Times New Roman" w:hAnsi="Times New Roman" w:eastAsia="仿宋_GB2312"/>
          <w:sz w:val="32"/>
          <w:szCs w:val="32"/>
          <w:lang w:eastAsia="zh-CN"/>
        </w:rPr>
        <w:t>、职工基本医疗保险缴费、其他社会保障缴费、住房公积金、医疗费、其他工资福利支出</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lang w:eastAsia="zh-CN"/>
        </w:rPr>
        <w:t>。</w:t>
      </w:r>
    </w:p>
    <w:p w14:paraId="397E987C">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149.6</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10.73</w:t>
      </w:r>
      <w:r>
        <w:rPr>
          <w:rFonts w:hint="eastAsia" w:ascii="Times New Roman" w:hAnsi="Times New Roman" w:eastAsia="仿宋_GB2312"/>
          <w:sz w:val="32"/>
          <w:szCs w:val="32"/>
        </w:rPr>
        <w:t>%，主要包括租赁费</w:t>
      </w:r>
      <w:r>
        <w:rPr>
          <w:rFonts w:hint="eastAsia" w:ascii="Times New Roman" w:hAnsi="Times New Roman" w:eastAsia="仿宋_GB2312"/>
          <w:sz w:val="32"/>
          <w:szCs w:val="32"/>
          <w:lang w:eastAsia="zh-CN"/>
        </w:rPr>
        <w:t>、公务接待费、劳务费、工会经费、福利费、公务用车运行维护费、其他交通费用、其他商品和服务支出</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rPr>
        <w:t>。</w:t>
      </w:r>
    </w:p>
    <w:p w14:paraId="5BD2F49B">
      <w:pPr>
        <w:pStyle w:val="14"/>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114EC974">
      <w:pPr>
        <w:pStyle w:val="14"/>
        <w:keepNext w:val="0"/>
        <w:keepLines w:val="0"/>
        <w:pageBreakBefore w:val="0"/>
        <w:widowControl w:val="0"/>
        <w:numPr>
          <w:ilvl w:val="0"/>
          <w:numId w:val="0"/>
        </w:numPr>
        <w:kinsoku/>
        <w:wordWrap/>
        <w:overflowPunct/>
        <w:topLinePunct w:val="0"/>
        <w:bidi w:val="0"/>
        <w:snapToGri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061A7874">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9.99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83.25</w:t>
      </w:r>
      <w:r>
        <w:rPr>
          <w:rFonts w:hint="eastAsia" w:ascii="Times New Roman" w:hAnsi="Times New Roman" w:eastAsia="仿宋_GB2312"/>
          <w:sz w:val="32"/>
          <w:szCs w:val="32"/>
        </w:rPr>
        <w:t>%，决算数小于预算数的主要原因是</w:t>
      </w:r>
      <w:r>
        <w:rPr>
          <w:rFonts w:hint="eastAsia" w:ascii="仿宋_GB2312" w:hAnsi="仿宋_GB2312" w:eastAsia="仿宋_GB2312" w:cs="仿宋_GB2312"/>
          <w:sz w:val="32"/>
          <w:szCs w:val="32"/>
          <w:lang w:val="en-US" w:eastAsia="zh-CN"/>
        </w:rPr>
        <w:t>严格按照标准支出，严控“三公”经费支出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2.79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38.75%</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机构改革，原湖南省无线电管理委员会办公室永州市管理处、市无线电监测站并入我局预算收支，增加2台特种装备用车，公务用车运行维护费增加</w:t>
      </w:r>
      <w:r>
        <w:rPr>
          <w:rFonts w:hint="eastAsia" w:ascii="Times New Roman" w:hAnsi="Times New Roman" w:eastAsia="仿宋_GB2312"/>
          <w:sz w:val="32"/>
          <w:szCs w:val="32"/>
        </w:rPr>
        <w:t>。其中：</w:t>
      </w:r>
    </w:p>
    <w:p w14:paraId="527EC014">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年初数及决算数均为0无法计算百分比，年初预算数与决算数持平，主要原因是：我局2023年度未产生</w:t>
      </w:r>
      <w:r>
        <w:rPr>
          <w:rFonts w:hint="eastAsia" w:ascii="Times New Roman" w:hAnsi="Times New Roman" w:eastAsia="仿宋_GB2312"/>
          <w:sz w:val="32"/>
          <w:szCs w:val="32"/>
        </w:rPr>
        <w:t>因公出国（境）费。</w:t>
      </w:r>
    </w:p>
    <w:p w14:paraId="3F3178F7">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66.5</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eastAsia="zh-CN"/>
        </w:rPr>
        <w:t>：</w:t>
      </w:r>
      <w:r>
        <w:rPr>
          <w:rFonts w:hint="eastAsia" w:ascii="仿宋_GB2312" w:hAnsi="仿宋_GB2312" w:eastAsia="仿宋_GB2312" w:cs="仿宋_GB2312"/>
          <w:sz w:val="32"/>
          <w:szCs w:val="32"/>
          <w:lang w:val="en-US" w:eastAsia="zh-CN"/>
        </w:rPr>
        <w:t>严格按照标准级预算安排公务接待，严控“三公”经费支出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3.21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44.58</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严格落实过紧日子要求，严控</w:t>
      </w:r>
      <w:r>
        <w:rPr>
          <w:rFonts w:hint="eastAsia" w:ascii="Times New Roman" w:hAnsi="Times New Roman" w:eastAsia="仿宋_GB2312"/>
          <w:sz w:val="32"/>
          <w:szCs w:val="32"/>
        </w:rPr>
        <w:t>公务接待支出。</w:t>
      </w:r>
    </w:p>
    <w:p w14:paraId="127A2969">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年初数及决算数均为0无法计算百分比，年初预算数与决算数持平，主要原因是：我局2023年度未产生</w:t>
      </w:r>
      <w:r>
        <w:rPr>
          <w:rFonts w:hint="eastAsia" w:ascii="Times New Roman" w:hAnsi="Times New Roman" w:eastAsia="仿宋_GB2312"/>
          <w:sz w:val="32"/>
          <w:szCs w:val="32"/>
        </w:rPr>
        <w:t>公务用车购置费。</w:t>
      </w:r>
    </w:p>
    <w:p w14:paraId="479562F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val="en-US" w:eastAsia="zh-CN"/>
        </w:rPr>
        <w:t>严格按照预算执行</w:t>
      </w:r>
      <w:r>
        <w:rPr>
          <w:rFonts w:hint="eastAsia" w:ascii="Times New Roman" w:hAnsi="Times New Roman" w:eastAsia="仿宋_GB2312"/>
          <w:sz w:val="32"/>
          <w:szCs w:val="32"/>
        </w:rPr>
        <w:t>。</w:t>
      </w:r>
    </w:p>
    <w:p w14:paraId="095447FF">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00F33B9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39.94</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60.06</w:t>
      </w:r>
      <w:r>
        <w:rPr>
          <w:rFonts w:hint="eastAsia" w:ascii="Times New Roman" w:hAnsi="Times New Roman" w:eastAsia="仿宋_GB2312"/>
          <w:sz w:val="32"/>
          <w:szCs w:val="32"/>
        </w:rPr>
        <w:t>%。其中：</w:t>
      </w:r>
    </w:p>
    <w:p w14:paraId="3E81413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7742FC0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36</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299</w:t>
      </w:r>
      <w:r>
        <w:rPr>
          <w:rFonts w:hint="eastAsia" w:ascii="Times New Roman" w:hAnsi="Times New Roman" w:eastAsia="仿宋_GB2312"/>
          <w:sz w:val="32"/>
          <w:szCs w:val="32"/>
        </w:rPr>
        <w:t>人次，主要是</w:t>
      </w:r>
      <w:r>
        <w:rPr>
          <w:rFonts w:hint="eastAsia" w:ascii="仿宋_GB2312" w:hAnsi="仿宋_GB2312" w:eastAsia="仿宋_GB2312" w:cs="仿宋_GB2312"/>
          <w:sz w:val="32"/>
          <w:szCs w:val="32"/>
          <w:lang w:val="en-US" w:eastAsia="zh-CN"/>
        </w:rPr>
        <w:t>上级调研、无线电设备检测、工业经济运行、清欠、园区发展等工作</w:t>
      </w:r>
      <w:r>
        <w:rPr>
          <w:rFonts w:hint="eastAsia" w:ascii="仿宋_GB2312" w:hAnsi="仿宋_GB2312" w:eastAsia="仿宋_GB2312" w:cs="仿宋_GB2312"/>
          <w:sz w:val="32"/>
          <w:szCs w:val="32"/>
          <w:lang w:eastAsia="zh-CN"/>
        </w:rPr>
        <w:t>往来业务单位人员</w:t>
      </w:r>
      <w:r>
        <w:rPr>
          <w:rFonts w:hint="eastAsia" w:ascii="仿宋_GB2312" w:hAnsi="仿宋_GB2312" w:eastAsia="仿宋_GB2312" w:cs="仿宋_GB2312"/>
          <w:sz w:val="32"/>
          <w:szCs w:val="32"/>
        </w:rPr>
        <w:t>发生的接待支出。</w:t>
      </w:r>
    </w:p>
    <w:p w14:paraId="783A7A44">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val="en-US" w:eastAsia="zh-CN"/>
        </w:rPr>
        <w:t>2台无线电业务专用车辆运行维护</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辆。</w:t>
      </w:r>
    </w:p>
    <w:p w14:paraId="19B2778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54868FDA">
      <w:pPr>
        <w:pStyle w:val="14"/>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sz w:val="32"/>
          <w:szCs w:val="32"/>
        </w:rPr>
        <w:t xml:space="preserve">    </w:t>
      </w:r>
      <w:r>
        <w:rPr>
          <w:rFonts w:hint="eastAsia" w:ascii="Times New Roman" w:hAnsi="Times New Roman" w:eastAsia="仿宋_GB2312" w:cstheme="minorBidi"/>
          <w:color w:val="auto"/>
          <w:kern w:val="2"/>
          <w:sz w:val="32"/>
          <w:szCs w:val="32"/>
          <w:lang w:val="en-US" w:eastAsia="zh-CN" w:bidi="ar-SA"/>
        </w:rPr>
        <w:t>本单位无政府性基金收支。</w:t>
      </w:r>
    </w:p>
    <w:p w14:paraId="45210FDD">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7AE998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149.6</w:t>
      </w:r>
      <w:r>
        <w:rPr>
          <w:rFonts w:hint="eastAsia" w:ascii="Times New Roman" w:hAnsi="Times New Roman" w:eastAsia="仿宋_GB2312"/>
          <w:sz w:val="32"/>
          <w:szCs w:val="32"/>
        </w:rPr>
        <w:t>万元，比年初预算数减少</w:t>
      </w:r>
      <w:r>
        <w:rPr>
          <w:rFonts w:hint="eastAsia" w:ascii="Times New Roman" w:hAnsi="Times New Roman" w:eastAsia="仿宋_GB2312"/>
          <w:sz w:val="32"/>
          <w:szCs w:val="32"/>
          <w:lang w:val="en-US" w:eastAsia="zh-CN"/>
        </w:rPr>
        <w:t>2.61</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1.71</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公务接待费支出较年初预算数减少</w:t>
      </w:r>
      <w:r>
        <w:rPr>
          <w:rFonts w:hint="eastAsia" w:ascii="Times New Roman" w:hAnsi="Times New Roman" w:eastAsia="仿宋_GB2312"/>
          <w:sz w:val="32"/>
          <w:szCs w:val="32"/>
        </w:rPr>
        <w:t>。</w:t>
      </w:r>
    </w:p>
    <w:p w14:paraId="54D3C91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23E0418D">
      <w:pPr>
        <w:pStyle w:val="14"/>
        <w:keepNext w:val="0"/>
        <w:keepLines w:val="0"/>
        <w:pageBreakBefore w:val="0"/>
        <w:widowControl w:val="0"/>
        <w:kinsoku/>
        <w:wordWrap/>
        <w:overflowPunct/>
        <w:topLinePunct w:val="0"/>
        <w:autoSpaceDE w:val="0"/>
        <w:autoSpaceDN w:val="0"/>
        <w:bidi w:val="0"/>
        <w:adjustRightInd/>
        <w:snapToGrid/>
        <w:spacing w:line="54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16.43</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主要用于召开</w:t>
      </w:r>
      <w:r>
        <w:rPr>
          <w:rFonts w:hint="eastAsia" w:ascii="仿宋_GB2312" w:hAnsi="仿宋_GB2312" w:eastAsia="仿宋_GB2312" w:cs="仿宋_GB2312"/>
          <w:sz w:val="32"/>
          <w:szCs w:val="32"/>
          <w:lang w:val="en-US" w:eastAsia="zh-CN"/>
        </w:rPr>
        <w:t>全市“五好”园区大比武暨产业项目现场观摩</w:t>
      </w:r>
      <w:r>
        <w:rPr>
          <w:rFonts w:hint="eastAsia" w:ascii="仿宋_GB2312" w:hAnsi="仿宋_GB2312" w:eastAsia="仿宋_GB2312" w:cs="仿宋_GB2312"/>
          <w:sz w:val="32"/>
          <w:szCs w:val="32"/>
        </w:rPr>
        <w:t>会议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每次</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约160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每季度一次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全市工业经济运行座谈会（每次约30人，平均每月1次）等</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4.62</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主要用于开展全市工业经济形势分析暨业务</w:t>
      </w:r>
      <w:r>
        <w:rPr>
          <w:rFonts w:hint="eastAsia" w:ascii="仿宋_GB2312" w:hAnsi="仿宋_GB2312" w:eastAsia="仿宋_GB2312" w:cs="仿宋_GB2312"/>
          <w:sz w:val="32"/>
          <w:szCs w:val="32"/>
        </w:rPr>
        <w:t>培训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小巨人企业申报培训等，人数约80人，内容为研究当前工业经济运行、工业经济运行监测业务工作培训、小巨人企业申报培训等</w:t>
      </w:r>
      <w:r>
        <w:rPr>
          <w:rFonts w:hint="eastAsia" w:ascii="Times New Roman" w:hAnsi="Times New Roman" w:eastAsia="仿宋_GB2312"/>
          <w:sz w:val="32"/>
          <w:szCs w:val="32"/>
        </w:rPr>
        <w:t>；</w:t>
      </w:r>
      <w:r>
        <w:rPr>
          <w:rFonts w:hint="eastAsia" w:ascii="仿宋_GB2312" w:hAnsi="仿宋_GB2312" w:eastAsia="仿宋_GB2312" w:cs="仿宋_GB2312"/>
          <w:sz w:val="32"/>
          <w:szCs w:val="32"/>
          <w:lang w:val="en-US" w:eastAsia="zh-CN"/>
        </w:rPr>
        <w:t>未举办节庆、晚会、论坛、赛事等活动，开支0万元。</w:t>
      </w:r>
    </w:p>
    <w:p w14:paraId="30D6DAA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C59E875">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160.68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137.05</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23.63</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160.68</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160.68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34746DC2">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33BDD57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34E96022">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52D8338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3"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0688194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根据财政部《财政支出绩效评价管理暂行办法》、《湖南省人民政府关于全面推进预算绩效管理的意见》</w:t>
      </w:r>
      <w:r>
        <w:rPr>
          <w:rFonts w:hint="eastAsia" w:ascii="仿宋_GB2312" w:hAnsi="仿宋_GB2312" w:eastAsia="仿宋_GB2312" w:cs="仿宋_GB2312"/>
          <w:sz w:val="32"/>
          <w:szCs w:val="32"/>
          <w:lang w:val="en-US" w:eastAsia="zh-CN"/>
        </w:rPr>
        <w:t>等文件要求</w:t>
      </w:r>
      <w:r>
        <w:rPr>
          <w:rFonts w:hint="eastAsia" w:ascii="仿宋_GB2312" w:hAnsi="仿宋_GB2312" w:eastAsia="仿宋_GB2312" w:cs="仿宋_GB2312"/>
          <w:sz w:val="32"/>
          <w:szCs w:val="32"/>
        </w:rPr>
        <w:t>，我局建立了内部控制制度，严格按照制度管理项目资金。所有项目资金的使用按规定和要求进行资金拨付，全部</w:t>
      </w:r>
      <w:r>
        <w:rPr>
          <w:rFonts w:hint="eastAsia" w:ascii="仿宋_GB2312" w:hAnsi="仿宋_GB2312" w:eastAsia="仿宋_GB2312" w:cs="仿宋_GB2312"/>
          <w:sz w:val="32"/>
          <w:szCs w:val="32"/>
          <w:lang w:val="en-US" w:eastAsia="zh-CN"/>
        </w:rPr>
        <w:t>按照绩效目标支出方向列支经费</w:t>
      </w:r>
      <w:r>
        <w:rPr>
          <w:rFonts w:hint="eastAsia" w:ascii="仿宋_GB2312" w:hAnsi="仿宋_GB2312" w:eastAsia="仿宋_GB2312" w:cs="仿宋_GB2312"/>
          <w:sz w:val="32"/>
          <w:szCs w:val="32"/>
        </w:rPr>
        <w:t>。</w:t>
      </w:r>
    </w:p>
    <w:p w14:paraId="7C9F0F4E">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3" w:firstLineChars="200"/>
        <w:jc w:val="both"/>
        <w:textAlignment w:val="baseline"/>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233338BA">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年以来，</w:t>
      </w:r>
      <w:r>
        <w:rPr>
          <w:rFonts w:hint="eastAsia" w:eastAsia="仿宋_GB2312" w:cs="Times New Roman"/>
          <w:b w:val="0"/>
          <w:bCs w:val="0"/>
          <w:i w:val="0"/>
          <w:caps w:val="0"/>
          <w:color w:val="auto"/>
          <w:spacing w:val="0"/>
          <w:w w:val="100"/>
          <w:sz w:val="32"/>
          <w:szCs w:val="32"/>
          <w:lang w:val="en-US" w:eastAsia="zh-CN"/>
        </w:rPr>
        <w:t>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r>
        <w:rPr>
          <w:rFonts w:hint="eastAsia" w:ascii="仿宋_GB2312" w:hAnsi="仿宋_GB2312" w:eastAsia="仿宋_GB2312" w:cs="仿宋_GB2312"/>
          <w:sz w:val="32"/>
          <w:szCs w:val="32"/>
          <w:lang w:val="en-US" w:eastAsia="zh-CN"/>
        </w:rPr>
        <w:t>我单位</w:t>
      </w:r>
      <w:r>
        <w:rPr>
          <w:rFonts w:hint="eastAsia" w:ascii="仿宋_GB2312" w:hAnsi="仿宋_GB2312" w:eastAsia="仿宋_GB2312" w:cs="仿宋_GB2312"/>
          <w:sz w:val="32"/>
          <w:szCs w:val="32"/>
        </w:rPr>
        <w:t>圆满完成了预算规划的各项工作及市委、市政府交办的其他事项，履行了部门各项职责，达到了预算所设立的主要目标，202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年度永州市工业和信息化局部门整体支出绩效自评结果为</w:t>
      </w:r>
      <w:r>
        <w:rPr>
          <w:rFonts w:hint="eastAsia" w:ascii="仿宋_GB2312" w:hAnsi="仿宋_GB2312" w:eastAsia="仿宋_GB2312" w:cs="仿宋_GB2312"/>
          <w:sz w:val="32"/>
          <w:szCs w:val="32"/>
          <w:lang w:val="en-US" w:eastAsia="zh-CN"/>
        </w:rPr>
        <w:t>98</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详见部门绩效自评报告</w:t>
      </w:r>
      <w:r>
        <w:rPr>
          <w:rFonts w:hint="eastAsia" w:ascii="仿宋_GB2312" w:hAnsi="仿宋_GB2312" w:eastAsia="仿宋_GB2312" w:cs="仿宋_GB2312"/>
          <w:sz w:val="32"/>
          <w:szCs w:val="32"/>
          <w:lang w:eastAsia="zh-CN"/>
        </w:rPr>
        <w:t>）</w:t>
      </w:r>
    </w:p>
    <w:p w14:paraId="4BD8E96F">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3" w:firstLineChars="200"/>
        <w:jc w:val="both"/>
        <w:textAlignment w:val="baseline"/>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存在的问题及原因分析</w:t>
      </w:r>
    </w:p>
    <w:p w14:paraId="7759716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方正小标宋_GBK" w:hAnsi="方正小标宋_GBK" w:eastAsia="方正小标宋_GBK" w:cs="方正小标宋_GBK"/>
          <w:sz w:val="72"/>
          <w:szCs w:val="72"/>
        </w:rPr>
      </w:pPr>
      <w:r>
        <w:rPr>
          <w:rFonts w:hint="eastAsia" w:ascii="仿宋_GB2312" w:hAnsi="仿宋_GB2312" w:eastAsia="仿宋_GB2312" w:cs="仿宋_GB2312"/>
          <w:sz w:val="32"/>
          <w:szCs w:val="32"/>
        </w:rPr>
        <w:t>年初实施预算编制时，未将上级拨付资金未列入年初部门预算范畴，剔除政策性追加的人员经费外，其余市本级资金也采取年中调整预算的方式增拨经费，</w:t>
      </w:r>
      <w:r>
        <w:rPr>
          <w:rFonts w:hint="eastAsia" w:ascii="仿宋_GB2312" w:hAnsi="仿宋_GB2312" w:eastAsia="仿宋_GB2312" w:cs="仿宋_GB2312"/>
          <w:sz w:val="32"/>
          <w:szCs w:val="32"/>
          <w:lang w:val="en-US" w:eastAsia="zh-CN"/>
        </w:rPr>
        <w:t>从</w:t>
      </w:r>
      <w:r>
        <w:rPr>
          <w:rFonts w:hint="eastAsia" w:ascii="仿宋_GB2312" w:hAnsi="仿宋_GB2312" w:eastAsia="仿宋_GB2312" w:cs="仿宋_GB2312"/>
          <w:sz w:val="32"/>
          <w:szCs w:val="32"/>
        </w:rPr>
        <w:t>而导致预决算</w:t>
      </w:r>
      <w:r>
        <w:rPr>
          <w:rFonts w:hint="eastAsia" w:ascii="仿宋_GB2312" w:hAnsi="仿宋_GB2312" w:eastAsia="仿宋_GB2312" w:cs="仿宋_GB2312"/>
          <w:sz w:val="32"/>
          <w:szCs w:val="32"/>
          <w:lang w:val="en-US" w:eastAsia="zh-CN"/>
        </w:rPr>
        <w:t>有所</w:t>
      </w:r>
      <w:r>
        <w:rPr>
          <w:rFonts w:hint="eastAsia" w:ascii="仿宋_GB2312" w:hAnsi="仿宋_GB2312" w:eastAsia="仿宋_GB2312" w:cs="仿宋_GB2312"/>
          <w:sz w:val="32"/>
          <w:szCs w:val="32"/>
        </w:rPr>
        <w:t>差异。</w:t>
      </w:r>
    </w:p>
    <w:p w14:paraId="55AC5A3F">
      <w:pPr>
        <w:pStyle w:val="14"/>
        <w:jc w:val="both"/>
        <w:rPr>
          <w:rFonts w:hint="eastAsia" w:ascii="方正小标宋_GBK" w:hAnsi="方正小标宋_GBK" w:eastAsia="方正小标宋_GBK" w:cs="方正小标宋_GBK"/>
          <w:sz w:val="72"/>
          <w:szCs w:val="72"/>
        </w:rPr>
      </w:pPr>
    </w:p>
    <w:p w14:paraId="46E8F906">
      <w:pPr>
        <w:pStyle w:val="14"/>
        <w:jc w:val="both"/>
        <w:rPr>
          <w:rFonts w:hint="eastAsia" w:ascii="方正小标宋_GBK" w:hAnsi="方正小标宋_GBK" w:eastAsia="方正小标宋_GBK" w:cs="方正小标宋_GBK"/>
          <w:sz w:val="72"/>
          <w:szCs w:val="72"/>
        </w:rPr>
      </w:pPr>
    </w:p>
    <w:p w14:paraId="7791202B">
      <w:pPr>
        <w:pStyle w:val="14"/>
        <w:jc w:val="both"/>
        <w:rPr>
          <w:rFonts w:hint="eastAsia" w:ascii="方正小标宋_GBK" w:hAnsi="方正小标宋_GBK" w:eastAsia="方正小标宋_GBK" w:cs="方正小标宋_GBK"/>
          <w:sz w:val="72"/>
          <w:szCs w:val="72"/>
        </w:rPr>
      </w:pPr>
    </w:p>
    <w:p w14:paraId="15D402FD">
      <w:pPr>
        <w:pStyle w:val="14"/>
        <w:jc w:val="center"/>
        <w:rPr>
          <w:rFonts w:hint="eastAsia" w:ascii="方正小标宋_GBK" w:hAnsi="方正小标宋_GBK" w:eastAsia="方正小标宋_GBK" w:cs="方正小标宋_GBK"/>
          <w:sz w:val="72"/>
          <w:szCs w:val="72"/>
        </w:rPr>
      </w:pPr>
    </w:p>
    <w:p w14:paraId="5123FF1D">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68FA530">
      <w:pPr>
        <w:jc w:val="center"/>
        <w:rPr>
          <w:rFonts w:hint="eastAsia" w:ascii="方正小标宋_GBK" w:hAnsi="方正小标宋_GBK" w:eastAsia="方正小标宋_GBK" w:cs="方正小标宋_GBK"/>
          <w:color w:val="000000"/>
          <w:kern w:val="0"/>
          <w:sz w:val="70"/>
          <w:szCs w:val="70"/>
        </w:rPr>
      </w:pPr>
    </w:p>
    <w:p w14:paraId="038E8967">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E9C4D70">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072B30E5">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一、基本支出：</w:t>
      </w:r>
      <w:r>
        <w:rPr>
          <w:rFonts w:hint="eastAsia" w:ascii="仿宋_GB2312" w:hAnsi="仿宋_GB2312" w:eastAsia="仿宋_GB2312" w:cs="仿宋_GB2312"/>
          <w:sz w:val="32"/>
          <w:szCs w:val="32"/>
        </w:rPr>
        <w:t>指为保障机构正常运转、完成日常工作任务而发生的各项支出，包括人员支出和公用支出。</w:t>
      </w:r>
    </w:p>
    <w:p w14:paraId="13A37241">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项目支出：</w:t>
      </w:r>
      <w:r>
        <w:rPr>
          <w:rFonts w:hint="eastAsia" w:ascii="仿宋_GB2312" w:hAnsi="仿宋_GB2312" w:eastAsia="仿宋_GB2312" w:cs="仿宋_GB2312"/>
          <w:sz w:val="32"/>
          <w:szCs w:val="32"/>
        </w:rPr>
        <w:t>指在基本支出以外为完成相关执行任务和事业发展目标所发生的各项支出。</w:t>
      </w:r>
    </w:p>
    <w:p w14:paraId="3056A9A8">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sz w:val="32"/>
          <w:szCs w:val="32"/>
        </w:rPr>
        <w:t>指通过财政拨款资金安排的因公出国（境）费、公务用车购置及运行费和公务接待费支出。</w:t>
      </w:r>
    </w:p>
    <w:p w14:paraId="512E8C6F">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机关运行经费：</w:t>
      </w:r>
      <w:r>
        <w:rPr>
          <w:rFonts w:hint="eastAsia" w:ascii="仿宋_GB2312" w:hAnsi="仿宋_GB2312" w:eastAsia="仿宋_GB2312" w:cs="仿宋_GB2312"/>
          <w:sz w:val="32"/>
          <w:szCs w:val="32"/>
        </w:rPr>
        <w:t>是指各部门的公用经费，包括办公费、印刷费、邮电费、差旅费、会议费、福利费、日常维修费、专用材料及一般设备购置费、办公用房水电费、办公用房取暖费、办公用房物业管理费、公务用车运行维护费以及其他费用。</w:t>
      </w:r>
    </w:p>
    <w:p w14:paraId="62F68819">
      <w:pPr>
        <w:pStyle w:val="14"/>
        <w:jc w:val="center"/>
        <w:rPr>
          <w:sz w:val="72"/>
          <w:szCs w:val="72"/>
        </w:rPr>
      </w:pPr>
    </w:p>
    <w:p w14:paraId="3AC37D42">
      <w:pPr>
        <w:pStyle w:val="14"/>
        <w:jc w:val="center"/>
        <w:rPr>
          <w:sz w:val="72"/>
          <w:szCs w:val="72"/>
        </w:rPr>
      </w:pPr>
    </w:p>
    <w:p w14:paraId="27CCFDE9">
      <w:pPr>
        <w:pStyle w:val="14"/>
        <w:jc w:val="center"/>
        <w:rPr>
          <w:sz w:val="72"/>
          <w:szCs w:val="72"/>
        </w:rPr>
      </w:pPr>
    </w:p>
    <w:p w14:paraId="5AE5FC07">
      <w:pPr>
        <w:pStyle w:val="14"/>
        <w:jc w:val="center"/>
        <w:rPr>
          <w:sz w:val="72"/>
          <w:szCs w:val="72"/>
        </w:rPr>
      </w:pPr>
    </w:p>
    <w:p w14:paraId="237DEF5F">
      <w:pPr>
        <w:pStyle w:val="14"/>
        <w:jc w:val="center"/>
        <w:rPr>
          <w:sz w:val="72"/>
          <w:szCs w:val="72"/>
        </w:rPr>
      </w:pPr>
    </w:p>
    <w:p w14:paraId="68CE9EF1">
      <w:pPr>
        <w:pStyle w:val="14"/>
        <w:jc w:val="center"/>
        <w:rPr>
          <w:sz w:val="72"/>
          <w:szCs w:val="72"/>
        </w:rPr>
      </w:pPr>
    </w:p>
    <w:p w14:paraId="78ABFDB1">
      <w:pPr>
        <w:pStyle w:val="14"/>
        <w:jc w:val="center"/>
        <w:rPr>
          <w:sz w:val="72"/>
          <w:szCs w:val="72"/>
        </w:rPr>
      </w:pPr>
    </w:p>
    <w:p w14:paraId="64D9703F">
      <w:pPr>
        <w:pStyle w:val="14"/>
        <w:jc w:val="center"/>
        <w:rPr>
          <w:sz w:val="72"/>
          <w:szCs w:val="72"/>
        </w:rPr>
      </w:pPr>
    </w:p>
    <w:p w14:paraId="30CCAC57">
      <w:pPr>
        <w:rPr>
          <w:sz w:val="72"/>
          <w:szCs w:val="72"/>
        </w:rPr>
      </w:pPr>
      <w:r>
        <w:rPr>
          <w:sz w:val="72"/>
          <w:szCs w:val="72"/>
        </w:rPr>
        <w:br w:type="page"/>
      </w:r>
    </w:p>
    <w:p w14:paraId="1BB66FEE">
      <w:pPr>
        <w:pStyle w:val="14"/>
        <w:jc w:val="center"/>
        <w:rPr>
          <w:rFonts w:hint="eastAsia" w:ascii="方正小标宋_GBK" w:hAnsi="方正小标宋_GBK" w:eastAsia="方正小标宋_GBK" w:cs="方正小标宋_GBK"/>
          <w:sz w:val="72"/>
          <w:szCs w:val="72"/>
        </w:rPr>
      </w:pPr>
    </w:p>
    <w:p w14:paraId="5E4375FE">
      <w:pPr>
        <w:pStyle w:val="14"/>
        <w:jc w:val="center"/>
        <w:rPr>
          <w:rFonts w:hint="eastAsia" w:ascii="方正小标宋_GBK" w:hAnsi="方正小标宋_GBK" w:eastAsia="方正小标宋_GBK" w:cs="方正小标宋_GBK"/>
          <w:sz w:val="72"/>
          <w:szCs w:val="72"/>
        </w:rPr>
      </w:pPr>
    </w:p>
    <w:p w14:paraId="3CE9E859">
      <w:pPr>
        <w:pStyle w:val="14"/>
        <w:jc w:val="center"/>
        <w:rPr>
          <w:rFonts w:hint="eastAsia" w:ascii="方正小标宋_GBK" w:hAnsi="方正小标宋_GBK" w:eastAsia="方正小标宋_GBK" w:cs="方正小标宋_GBK"/>
          <w:sz w:val="72"/>
          <w:szCs w:val="72"/>
        </w:rPr>
      </w:pPr>
    </w:p>
    <w:p w14:paraId="54E1A258">
      <w:pPr>
        <w:pStyle w:val="14"/>
        <w:jc w:val="center"/>
        <w:rPr>
          <w:rFonts w:hint="eastAsia" w:ascii="方正小标宋_GBK" w:hAnsi="方正小标宋_GBK" w:eastAsia="方正小标宋_GBK" w:cs="方正小标宋_GBK"/>
          <w:sz w:val="72"/>
          <w:szCs w:val="72"/>
        </w:rPr>
      </w:pPr>
    </w:p>
    <w:p w14:paraId="24D99BB2">
      <w:pPr>
        <w:pStyle w:val="14"/>
        <w:jc w:val="center"/>
        <w:rPr>
          <w:rFonts w:hint="eastAsia" w:ascii="方正小标宋_GBK" w:hAnsi="方正小标宋_GBK" w:eastAsia="方正小标宋_GBK" w:cs="方正小标宋_GBK"/>
          <w:sz w:val="72"/>
          <w:szCs w:val="72"/>
        </w:rPr>
      </w:pPr>
    </w:p>
    <w:p w14:paraId="72B7F29F">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756D7674">
      <w:pPr>
        <w:pStyle w:val="14"/>
        <w:jc w:val="center"/>
        <w:rPr>
          <w:rFonts w:hint="eastAsia" w:ascii="方正小标宋_GBK" w:hAnsi="方正小标宋_GBK" w:eastAsia="方正小标宋_GBK" w:cs="方正小标宋_GBK"/>
          <w:sz w:val="70"/>
          <w:szCs w:val="70"/>
        </w:rPr>
      </w:pPr>
    </w:p>
    <w:p w14:paraId="3FA0BCAC">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7CFE2272">
      <w:pPr>
        <w:rPr>
          <w:sz w:val="72"/>
          <w:szCs w:val="72"/>
        </w:rPr>
      </w:pPr>
    </w:p>
    <w:p w14:paraId="5C41974A">
      <w:pPr>
        <w:pStyle w:val="14"/>
        <w:jc w:val="center"/>
        <w:rPr>
          <w:sz w:val="72"/>
          <w:szCs w:val="72"/>
        </w:rPr>
      </w:pPr>
    </w:p>
    <w:p w14:paraId="26F4EF66">
      <w:pPr>
        <w:pStyle w:val="14"/>
        <w:jc w:val="center"/>
        <w:rPr>
          <w:sz w:val="72"/>
          <w:szCs w:val="72"/>
        </w:rPr>
      </w:pPr>
    </w:p>
    <w:p w14:paraId="56BBAD52">
      <w:pPr>
        <w:jc w:val="left"/>
        <w:rPr>
          <w:rFonts w:cs="黑体" w:asciiTheme="minorEastAsia" w:hAnsiTheme="minorEastAsia"/>
          <w:color w:val="000000"/>
          <w:kern w:val="0"/>
          <w:sz w:val="32"/>
          <w:szCs w:val="32"/>
        </w:rPr>
      </w:pPr>
    </w:p>
    <w:p w14:paraId="3D12575A">
      <w:pPr>
        <w:pStyle w:val="2"/>
        <w:rPr>
          <w:rFonts w:cs="黑体" w:asciiTheme="minorEastAsia" w:hAnsiTheme="minorEastAsia"/>
          <w:color w:val="000000"/>
          <w:kern w:val="0"/>
          <w:sz w:val="32"/>
          <w:szCs w:val="32"/>
        </w:rPr>
      </w:pPr>
    </w:p>
    <w:p w14:paraId="3EDB8913">
      <w:pPr>
        <w:pStyle w:val="3"/>
        <w:rPr>
          <w:rFonts w:cs="黑体" w:asciiTheme="minorEastAsia" w:hAnsiTheme="minorEastAsia"/>
          <w:color w:val="000000"/>
          <w:kern w:val="0"/>
          <w:sz w:val="32"/>
          <w:szCs w:val="32"/>
        </w:rPr>
      </w:pPr>
    </w:p>
    <w:p w14:paraId="23B907F4">
      <w:pPr>
        <w:spacing w:line="600" w:lineRule="exact"/>
        <w:rPr>
          <w:rFonts w:eastAsia="黑体"/>
          <w:sz w:val="32"/>
          <w:szCs w:val="32"/>
        </w:rPr>
      </w:pPr>
    </w:p>
    <w:p w14:paraId="307C7A36">
      <w:pPr>
        <w:spacing w:line="600" w:lineRule="exact"/>
        <w:rPr>
          <w:rFonts w:eastAsia="黑体"/>
          <w:sz w:val="32"/>
          <w:szCs w:val="32"/>
        </w:rPr>
      </w:pPr>
    </w:p>
    <w:p w14:paraId="32EA1E53">
      <w:pPr>
        <w:spacing w:line="600" w:lineRule="exact"/>
        <w:rPr>
          <w:rFonts w:eastAsia="黑体"/>
          <w:sz w:val="32"/>
          <w:szCs w:val="32"/>
        </w:rPr>
      </w:pPr>
    </w:p>
    <w:p w14:paraId="5B3227C6">
      <w:pPr>
        <w:spacing w:line="600" w:lineRule="exact"/>
        <w:rPr>
          <w:rFonts w:eastAsia="黑体"/>
          <w:sz w:val="32"/>
          <w:szCs w:val="32"/>
        </w:rPr>
      </w:pPr>
    </w:p>
    <w:p w14:paraId="4CA29B40">
      <w:pPr>
        <w:jc w:val="center"/>
        <w:outlineLvl w:val="1"/>
        <w:rPr>
          <w:rFonts w:hint="eastAsia" w:ascii="方正小标宋简体" w:eastAsia="方正小标宋简体"/>
          <w:sz w:val="52"/>
          <w:szCs w:val="52"/>
        </w:rPr>
      </w:pPr>
      <w:r>
        <w:rPr>
          <w:rFonts w:hint="eastAsia" w:ascii="方正小标宋简体" w:eastAsia="方正小标宋简体"/>
          <w:sz w:val="52"/>
          <w:szCs w:val="52"/>
        </w:rPr>
        <w:t>202</w:t>
      </w:r>
      <w:r>
        <w:rPr>
          <w:rFonts w:hint="eastAsia" w:ascii="方正小标宋简体" w:eastAsia="方正小标宋简体"/>
          <w:sz w:val="52"/>
          <w:szCs w:val="52"/>
          <w:lang w:val="en-US" w:eastAsia="zh-CN"/>
        </w:rPr>
        <w:t>3</w:t>
      </w:r>
      <w:r>
        <w:rPr>
          <w:rFonts w:hint="eastAsia" w:ascii="方正小标宋简体" w:eastAsia="方正小标宋简体"/>
          <w:sz w:val="52"/>
          <w:szCs w:val="52"/>
        </w:rPr>
        <w:t>年度</w:t>
      </w:r>
      <w:r>
        <w:rPr>
          <w:rFonts w:hint="eastAsia" w:ascii="方正小标宋简体" w:eastAsia="方正小标宋简体"/>
          <w:sz w:val="52"/>
          <w:szCs w:val="52"/>
          <w:lang w:val="en-US" w:eastAsia="zh-CN"/>
        </w:rPr>
        <w:t>永州市工业和信息化局</w:t>
      </w:r>
      <w:r>
        <w:rPr>
          <w:rFonts w:hint="eastAsia" w:ascii="方正小标宋简体" w:eastAsia="方正小标宋简体"/>
          <w:sz w:val="52"/>
          <w:szCs w:val="52"/>
        </w:rPr>
        <w:t>部门（单位）整体支出</w:t>
      </w:r>
    </w:p>
    <w:p w14:paraId="16ED129D">
      <w:pPr>
        <w:jc w:val="center"/>
        <w:outlineLvl w:val="1"/>
        <w:rPr>
          <w:rFonts w:hint="eastAsia" w:ascii="方正小标宋简体" w:eastAsia="方正小标宋简体"/>
          <w:sz w:val="52"/>
          <w:szCs w:val="52"/>
        </w:rPr>
      </w:pPr>
      <w:r>
        <w:rPr>
          <w:rFonts w:hint="eastAsia" w:ascii="方正小标宋简体" w:eastAsia="方正小标宋简体"/>
          <w:sz w:val="52"/>
          <w:szCs w:val="52"/>
        </w:rPr>
        <w:t>绩效自评报告</w:t>
      </w:r>
    </w:p>
    <w:p w14:paraId="473114DE">
      <w:pPr>
        <w:jc w:val="center"/>
        <w:rPr>
          <w:rFonts w:eastAsia="方正小标宋_GBK"/>
          <w:b/>
          <w:sz w:val="52"/>
          <w:szCs w:val="52"/>
        </w:rPr>
      </w:pPr>
    </w:p>
    <w:p w14:paraId="3111D1E6">
      <w:pPr>
        <w:jc w:val="both"/>
        <w:rPr>
          <w:rFonts w:eastAsia="黑体"/>
          <w:sz w:val="32"/>
          <w:szCs w:val="32"/>
        </w:rPr>
      </w:pPr>
    </w:p>
    <w:p w14:paraId="332EFDE4">
      <w:pPr>
        <w:jc w:val="center"/>
        <w:rPr>
          <w:rFonts w:eastAsia="黑体"/>
          <w:sz w:val="32"/>
          <w:szCs w:val="32"/>
        </w:rPr>
      </w:pPr>
    </w:p>
    <w:p w14:paraId="53CB084A">
      <w:pPr>
        <w:jc w:val="center"/>
        <w:rPr>
          <w:rFonts w:eastAsia="黑体"/>
          <w:sz w:val="32"/>
          <w:szCs w:val="32"/>
        </w:rPr>
      </w:pPr>
    </w:p>
    <w:p w14:paraId="7CABD4CA">
      <w:pPr>
        <w:jc w:val="center"/>
        <w:rPr>
          <w:rFonts w:eastAsia="黑体"/>
          <w:sz w:val="32"/>
          <w:szCs w:val="32"/>
        </w:rPr>
      </w:pPr>
    </w:p>
    <w:p w14:paraId="4D8A26CC">
      <w:pPr>
        <w:rPr>
          <w:rFonts w:eastAsia="黑体"/>
          <w:sz w:val="32"/>
          <w:szCs w:val="32"/>
        </w:rPr>
      </w:pPr>
    </w:p>
    <w:p w14:paraId="5CD64B9D">
      <w:pPr>
        <w:jc w:val="center"/>
        <w:rPr>
          <w:rFonts w:eastAsia="黑体"/>
          <w:sz w:val="32"/>
          <w:szCs w:val="32"/>
        </w:rPr>
      </w:pPr>
    </w:p>
    <w:p w14:paraId="156E58FD">
      <w:pPr>
        <w:jc w:val="center"/>
        <w:rPr>
          <w:rFonts w:eastAsia="黑体"/>
          <w:sz w:val="32"/>
          <w:szCs w:val="32"/>
        </w:rPr>
      </w:pPr>
    </w:p>
    <w:p w14:paraId="53DD502A">
      <w:pPr>
        <w:jc w:val="center"/>
        <w:rPr>
          <w:rFonts w:eastAsia="黑体"/>
          <w:sz w:val="32"/>
          <w:szCs w:val="32"/>
        </w:rPr>
      </w:pPr>
    </w:p>
    <w:p w14:paraId="04638DE1">
      <w:pPr>
        <w:spacing w:line="600" w:lineRule="exact"/>
        <w:ind w:firstLine="1920" w:firstLineChars="600"/>
        <w:rPr>
          <w:rFonts w:eastAsia="仿宋_GB2312"/>
          <w:sz w:val="32"/>
          <w:szCs w:val="32"/>
          <w:u w:val="single"/>
        </w:rPr>
      </w:pPr>
      <w:r>
        <w:rPr>
          <w:rFonts w:eastAsia="仿宋_GB2312"/>
          <w:sz w:val="32"/>
          <w:szCs w:val="32"/>
        </w:rPr>
        <w:t>单位名称：</w:t>
      </w:r>
      <w:r>
        <w:rPr>
          <w:rFonts w:hint="eastAsia" w:eastAsia="仿宋_GB2312"/>
          <w:sz w:val="32"/>
          <w:szCs w:val="32"/>
          <w:u w:val="single"/>
          <w:lang w:val="en-US" w:eastAsia="zh-CN"/>
        </w:rPr>
        <w:t xml:space="preserve"> 永州市工业和信息化局</w:t>
      </w:r>
      <w:r>
        <w:rPr>
          <w:rFonts w:eastAsia="仿宋_GB2312"/>
          <w:sz w:val="32"/>
          <w:szCs w:val="32"/>
          <w:u w:val="single"/>
        </w:rPr>
        <w:t xml:space="preserve"> </w:t>
      </w:r>
    </w:p>
    <w:p w14:paraId="0AC86A2A">
      <w:pPr>
        <w:spacing w:line="600" w:lineRule="exact"/>
        <w:ind w:firstLine="3520" w:firstLineChars="1100"/>
        <w:rPr>
          <w:rFonts w:eastAsia="仿宋_GB2312"/>
          <w:sz w:val="32"/>
          <w:szCs w:val="32"/>
        </w:rPr>
      </w:pPr>
      <w:r>
        <w:rPr>
          <w:rFonts w:hint="eastAsia" w:eastAsia="楷体_GB2312"/>
          <w:sz w:val="32"/>
          <w:szCs w:val="32"/>
          <w:lang w:val="en-US" w:eastAsia="zh-CN"/>
        </w:rPr>
        <w:t>2024</w:t>
      </w:r>
      <w:r>
        <w:rPr>
          <w:rFonts w:eastAsia="楷体_GB2312"/>
          <w:sz w:val="32"/>
          <w:szCs w:val="32"/>
        </w:rPr>
        <w:t>年</w:t>
      </w:r>
      <w:r>
        <w:rPr>
          <w:rFonts w:hint="eastAsia" w:eastAsia="楷体_GB2312"/>
          <w:sz w:val="32"/>
          <w:szCs w:val="32"/>
          <w:lang w:val="en-US" w:eastAsia="zh-CN"/>
        </w:rPr>
        <w:t>4</w:t>
      </w:r>
      <w:r>
        <w:rPr>
          <w:rFonts w:eastAsia="楷体_GB2312"/>
          <w:sz w:val="32"/>
          <w:szCs w:val="32"/>
        </w:rPr>
        <w:t>月</w:t>
      </w:r>
      <w:r>
        <w:rPr>
          <w:rFonts w:hint="eastAsia" w:eastAsia="楷体_GB2312"/>
          <w:sz w:val="32"/>
          <w:szCs w:val="32"/>
          <w:lang w:val="en-US" w:eastAsia="zh-CN"/>
        </w:rPr>
        <w:t>30</w:t>
      </w:r>
      <w:r>
        <w:rPr>
          <w:rFonts w:eastAsia="楷体_GB2312"/>
          <w:sz w:val="32"/>
          <w:szCs w:val="32"/>
        </w:rPr>
        <w:t>日</w:t>
      </w:r>
    </w:p>
    <w:p w14:paraId="024949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sectPr>
          <w:footerReference r:id="rId4" w:type="default"/>
          <w:pgSz w:w="11906" w:h="16838"/>
          <w:pgMar w:top="1701" w:right="1417" w:bottom="1417" w:left="1701" w:header="851" w:footer="992" w:gutter="0"/>
          <w:pgNumType w:fmt="decimal" w:start="1"/>
          <w:cols w:space="425" w:num="1"/>
          <w:docGrid w:type="lines" w:linePitch="312" w:charSpace="0"/>
        </w:sectPr>
      </w:pPr>
    </w:p>
    <w:p w14:paraId="66AE203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部门（单位）基本情况</w:t>
      </w:r>
    </w:p>
    <w:p w14:paraId="60672A8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（一）部门职能职责</w:t>
      </w:r>
    </w:p>
    <w:p w14:paraId="3B80A60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永州市工业和信息化局承担全市工业和信息化的宏观管理职责。主要负责全市工业经济的日常运行与调度；指导、协调和服务工业企业，协调减轻企业负担；推进信息化和工业化融合；组织工业企业实施技术改造；承担市委军民融合发展委员会办公室具体工作；承担全市园区管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承担全市无线电管理工作。</w:t>
      </w:r>
    </w:p>
    <w:p w14:paraId="3FCE9C0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（二）机构设置情况</w:t>
      </w:r>
    </w:p>
    <w:p w14:paraId="4E3E331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末，我局内设科室19个，所属事业单位3个。内设科室分别是办公室、综合法规科、人事科、电子信息产业科、信息化推进科、经济运行监测科、投资规划科、工业园区管理科、消费品工业科、装备工业科、科技和人工智能科、节能与综合利用科、军民融合产业科、中小企业和非公经济管理服务科、能源运行科、产业政策和合作交流科、原材料工业科、市委军民融合发展委员会办公室秘书科、无线电管理科，另设机关党委。所属事业单位分别是永州市工业企业改制服务办公室、永州市民营经济发展服务中心、永州市无线电监测站。</w:t>
      </w:r>
    </w:p>
    <w:p w14:paraId="44B6D1E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人员编制情况</w:t>
      </w:r>
    </w:p>
    <w:p w14:paraId="6DA4579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年末，单位</w:t>
      </w:r>
      <w:r>
        <w:rPr>
          <w:rFonts w:hint="eastAsia" w:ascii="仿宋_GB2312" w:hAnsi="仿宋_GB2312" w:eastAsia="仿宋_GB2312" w:cs="仿宋_GB2312"/>
          <w:sz w:val="32"/>
          <w:szCs w:val="32"/>
          <w:lang w:val="en-US" w:eastAsia="zh-CN"/>
        </w:rPr>
        <w:t>纳入部门整体绩效管理的编制64</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人，工勤编制1人，全额拨款事业单位编制</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人。年末实有在职人员</w:t>
      </w:r>
      <w:r>
        <w:rPr>
          <w:rFonts w:hint="eastAsia" w:ascii="仿宋_GB2312" w:hAnsi="仿宋_GB2312" w:eastAsia="仿宋_GB2312" w:cs="仿宋_GB2312"/>
          <w:sz w:val="32"/>
          <w:szCs w:val="32"/>
          <w:lang w:val="en-US" w:eastAsia="zh-CN"/>
        </w:rPr>
        <w:t>63</w:t>
      </w:r>
      <w:r>
        <w:rPr>
          <w:rFonts w:hint="eastAsia" w:ascii="仿宋_GB2312" w:hAnsi="仿宋_GB2312" w:eastAsia="仿宋_GB2312" w:cs="仿宋_GB2312"/>
          <w:sz w:val="32"/>
          <w:szCs w:val="32"/>
        </w:rPr>
        <w:t>人，退休人员</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人。</w:t>
      </w:r>
    </w:p>
    <w:p w14:paraId="46C275F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二、一般公共预算支出情况</w:t>
      </w:r>
    </w:p>
    <w:p w14:paraId="37BF15A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年度，一般公共预算财政拨款年初预算</w:t>
      </w:r>
      <w:r>
        <w:rPr>
          <w:rFonts w:hint="eastAsia" w:ascii="仿宋_GB2312" w:hAnsi="仿宋_GB2312" w:eastAsia="仿宋_GB2312" w:cs="仿宋_GB2312"/>
          <w:sz w:val="32"/>
          <w:szCs w:val="32"/>
          <w:lang w:val="en-US" w:eastAsia="zh-CN"/>
        </w:rPr>
        <w:t>1104.34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全年预算数2659.91</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2659.91</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0A60F14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（一）基本支出情况</w:t>
      </w:r>
    </w:p>
    <w:p w14:paraId="142151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年度，基本支出年初预算</w:t>
      </w:r>
      <w:r>
        <w:rPr>
          <w:rFonts w:hint="eastAsia" w:ascii="仿宋_GB2312" w:hAnsi="仿宋_GB2312" w:eastAsia="仿宋_GB2312" w:cs="仿宋_GB2312"/>
          <w:sz w:val="32"/>
          <w:szCs w:val="32"/>
          <w:lang w:val="en-US" w:eastAsia="zh-CN"/>
        </w:rPr>
        <w:t>1068.34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全年预算数1394.73</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1394.73</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1394.73</w:t>
      </w:r>
      <w:r>
        <w:rPr>
          <w:rFonts w:hint="eastAsia" w:ascii="仿宋_GB2312" w:hAnsi="仿宋_GB2312" w:eastAsia="仿宋_GB2312" w:cs="仿宋_GB2312"/>
          <w:sz w:val="32"/>
          <w:szCs w:val="32"/>
        </w:rPr>
        <w:t>万元主要用于维持部门运转的人员经费和日常公用经费支出，其中：人员经费支出</w:t>
      </w:r>
      <w:r>
        <w:rPr>
          <w:rFonts w:hint="eastAsia" w:ascii="仿宋_GB2312" w:hAnsi="仿宋_GB2312" w:eastAsia="仿宋_GB2312" w:cs="仿宋_GB2312"/>
          <w:sz w:val="32"/>
          <w:szCs w:val="32"/>
          <w:lang w:val="en-US" w:eastAsia="zh-CN"/>
        </w:rPr>
        <w:t>1245.13</w:t>
      </w:r>
      <w:r>
        <w:rPr>
          <w:rFonts w:hint="eastAsia" w:ascii="仿宋_GB2312" w:hAnsi="仿宋_GB2312" w:eastAsia="仿宋_GB2312" w:cs="仿宋_GB2312"/>
          <w:sz w:val="32"/>
          <w:szCs w:val="32"/>
        </w:rPr>
        <w:t>万元，公用经费支出</w:t>
      </w:r>
      <w:r>
        <w:rPr>
          <w:rFonts w:hint="eastAsia" w:ascii="仿宋_GB2312" w:hAnsi="仿宋_GB2312" w:eastAsia="仿宋_GB2312" w:cs="仿宋_GB2312"/>
          <w:sz w:val="32"/>
          <w:szCs w:val="32"/>
          <w:lang w:val="en-US" w:eastAsia="zh-CN"/>
        </w:rPr>
        <w:t>149.6</w:t>
      </w:r>
      <w:r>
        <w:rPr>
          <w:rFonts w:hint="eastAsia" w:ascii="仿宋_GB2312" w:hAnsi="仿宋_GB2312" w:eastAsia="仿宋_GB2312" w:cs="仿宋_GB2312"/>
          <w:sz w:val="32"/>
          <w:szCs w:val="32"/>
        </w:rPr>
        <w:t>万元。</w:t>
      </w:r>
    </w:p>
    <w:p w14:paraId="27C2765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（二）项目支出情况</w:t>
      </w:r>
    </w:p>
    <w:p w14:paraId="6004FC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资金安排情况</w:t>
      </w:r>
    </w:p>
    <w:p w14:paraId="423CF74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年度，项目支出年初预算</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全年预算数1265.18</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1265.18</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按照专款专用原则主要用于市本级“小巨人”企业奖励、新增规模工业企业培育、全市</w:t>
      </w:r>
      <w:r>
        <w:rPr>
          <w:rFonts w:hint="eastAsia" w:ascii="仿宋_GB2312" w:hAnsi="仿宋_GB2312" w:eastAsia="仿宋_GB2312" w:cs="仿宋_GB2312"/>
          <w:sz w:val="32"/>
          <w:szCs w:val="32"/>
        </w:rPr>
        <w:t>工业发展、</w:t>
      </w:r>
      <w:r>
        <w:rPr>
          <w:rFonts w:hint="eastAsia" w:ascii="仿宋_GB2312" w:hAnsi="仿宋_GB2312" w:eastAsia="仿宋_GB2312" w:cs="仿宋_GB2312"/>
          <w:sz w:val="32"/>
          <w:szCs w:val="32"/>
          <w:lang w:val="en-US" w:eastAsia="zh-CN"/>
        </w:rPr>
        <w:t>保障自收自支人员工资福利待遇等</w:t>
      </w:r>
      <w:r>
        <w:rPr>
          <w:rFonts w:hint="eastAsia" w:ascii="仿宋_GB2312" w:hAnsi="仿宋_GB2312" w:eastAsia="仿宋_GB2312" w:cs="仿宋_GB2312"/>
          <w:sz w:val="32"/>
          <w:szCs w:val="32"/>
        </w:rPr>
        <w:t>。</w:t>
      </w:r>
    </w:p>
    <w:p w14:paraId="612D2B6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2.资金使用情况</w:t>
      </w:r>
      <w:bookmarkStart w:id="0" w:name="_GoBack"/>
      <w:bookmarkEnd w:id="0"/>
    </w:p>
    <w:p w14:paraId="4EA1DF7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（1）2021年度真抓实干成效明显地区奖励</w:t>
      </w:r>
    </w:p>
    <w:p w14:paraId="74FB0C5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度，</w:t>
      </w:r>
      <w:r>
        <w:rPr>
          <w:rFonts w:hint="eastAsia" w:ascii="仿宋_GB2312" w:hAnsi="仿宋_GB2312" w:eastAsia="仿宋_GB2312" w:cs="仿宋_GB2312"/>
          <w:sz w:val="32"/>
          <w:szCs w:val="32"/>
        </w:rPr>
        <w:t>2021年度真抓实干成效明显地区奖励</w:t>
      </w:r>
      <w:r>
        <w:rPr>
          <w:rFonts w:hint="eastAsia" w:ascii="仿宋_GB2312" w:hAnsi="仿宋_GB2312" w:eastAsia="仿宋_GB2312" w:cs="仿宋_GB2312"/>
          <w:sz w:val="32"/>
          <w:szCs w:val="32"/>
          <w:lang w:val="en-US" w:eastAsia="zh-CN"/>
        </w:rPr>
        <w:t>年初预算0万元，调整预算80万元，预算执行80万元，预算执行率100%。主要用于保障中小企业账款清欠</w:t>
      </w:r>
      <w:r>
        <w:rPr>
          <w:rFonts w:hint="eastAsia" w:ascii="仿宋_GB2312" w:hAnsi="仿宋_GB2312" w:eastAsia="仿宋_GB2312" w:cs="仿宋_GB2312"/>
          <w:sz w:val="32"/>
          <w:szCs w:val="32"/>
        </w:rPr>
        <w:t>等各项支出，包括办公费、印刷费、邮电费、培训费、会议费、差旅费、租赁费、委托业务费等。累计清理拖欠民营企业中小企业账款7514.23万元，清偿率、问题线索化解率居全省前列。</w:t>
      </w:r>
    </w:p>
    <w:p w14:paraId="01C516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（2）新增规模工业企业培育发展奖励资金（市本级）</w:t>
      </w:r>
    </w:p>
    <w:p w14:paraId="410B72D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val="en-US" w:eastAsia="zh-CN"/>
        </w:rPr>
        <w:t>新增规模工业企业培育发展奖励资金（市本级）</w:t>
      </w:r>
      <w:r>
        <w:rPr>
          <w:rFonts w:hint="eastAsia" w:ascii="仿宋_GB2312" w:hAnsi="仿宋_GB2312" w:eastAsia="仿宋_GB2312" w:cs="仿宋_GB2312"/>
          <w:sz w:val="32"/>
          <w:szCs w:val="32"/>
        </w:rPr>
        <w:t>专项资金年初预算0万元，调整预算</w:t>
      </w:r>
      <w:r>
        <w:rPr>
          <w:rFonts w:hint="eastAsia" w:ascii="仿宋_GB2312" w:hAnsi="仿宋_GB2312" w:eastAsia="仿宋_GB2312" w:cs="仿宋_GB2312"/>
          <w:sz w:val="32"/>
          <w:szCs w:val="32"/>
          <w:lang w:val="en-US" w:eastAsia="zh-CN"/>
        </w:rPr>
        <w:t>61.25</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61.25</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val="en-US" w:eastAsia="zh-CN" w:bidi="ar"/>
        </w:rPr>
        <w:t>根据《永州市贯彻落实&lt;深入开展新增规模以上工业企业行动实施方案&gt;的具体举措》（永政办发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kern w:val="0"/>
          <w:sz w:val="32"/>
          <w:szCs w:val="32"/>
          <w:lang w:val="en-US" w:eastAsia="zh-CN" w:bidi="ar"/>
        </w:rPr>
        <w:t>4号）</w:t>
      </w:r>
      <w:r>
        <w:rPr>
          <w:rFonts w:hint="eastAsia" w:ascii="仿宋_GB2312" w:hAnsi="仿宋_GB2312" w:eastAsia="仿宋_GB2312" w:cs="仿宋_GB2312"/>
          <w:b w:val="0"/>
          <w:bCs w:val="0"/>
          <w:kern w:val="0"/>
          <w:sz w:val="32"/>
          <w:szCs w:val="32"/>
          <w:lang w:val="en-US" w:eastAsia="zh-CN" w:bidi="ar"/>
        </w:rPr>
        <w:t>文</w:t>
      </w:r>
      <w:r>
        <w:rPr>
          <w:rFonts w:hint="eastAsia" w:ascii="仿宋_GB2312" w:hAnsi="仿宋_GB2312" w:eastAsia="仿宋_GB2312" w:cs="仿宋_GB2312"/>
          <w:kern w:val="0"/>
          <w:sz w:val="32"/>
          <w:szCs w:val="32"/>
          <w:lang w:val="en-US" w:eastAsia="zh-CN" w:bidi="ar"/>
        </w:rPr>
        <w:t>件精神（</w:t>
      </w:r>
      <w:r>
        <w:rPr>
          <w:rFonts w:hint="eastAsia" w:ascii="Calibri" w:hAnsi="Calibri" w:eastAsia="仿宋" w:cs="Times New Roman"/>
          <w:sz w:val="32"/>
          <w:szCs w:val="32"/>
          <w:lang w:val="en-US" w:eastAsia="zh-CN"/>
        </w:rPr>
        <w:t>由受益财政根据工作要求安排规模以上工业企业培育专项资金，对新入统规模工业企业根据生产规模、质量效益，给予5-10万元一次性奖励</w:t>
      </w:r>
      <w:r>
        <w:rPr>
          <w:rFonts w:hint="eastAsia" w:ascii="仿宋_GB2312" w:hAnsi="仿宋_GB2312" w:eastAsia="仿宋_GB2312" w:cs="仿宋_GB2312"/>
          <w:kern w:val="0"/>
          <w:sz w:val="32"/>
          <w:szCs w:val="32"/>
          <w:lang w:val="en-US" w:eastAsia="zh-CN" w:bidi="ar"/>
        </w:rPr>
        <w:t>）和市政府第26次常务会议纪要精神</w:t>
      </w:r>
      <w:r>
        <w:rPr>
          <w:rFonts w:hint="eastAsia" w:ascii="仿宋_GB2312" w:hAnsi="仿宋_GB2312" w:eastAsia="仿宋_GB2312" w:cs="仿宋_GB2312"/>
          <w:kern w:val="0"/>
          <w:sz w:val="32"/>
          <w:szCs w:val="32"/>
          <w:lang w:val="en" w:eastAsia="zh-CN" w:bidi="ar"/>
        </w:rPr>
        <w:t>。</w:t>
      </w:r>
      <w:r>
        <w:rPr>
          <w:rFonts w:hint="eastAsia" w:ascii="仿宋_GB2312" w:hAnsi="仿宋_GB2312" w:eastAsia="仿宋_GB2312" w:cs="仿宋_GB2312"/>
          <w:sz w:val="32"/>
          <w:szCs w:val="32"/>
        </w:rPr>
        <w:t>主要用于</w:t>
      </w:r>
      <w:r>
        <w:rPr>
          <w:rFonts w:hint="eastAsia" w:ascii="仿宋_GB2312" w:hAnsi="仿宋_GB2312" w:eastAsia="仿宋_GB2312" w:cs="仿宋_GB2312"/>
          <w:sz w:val="32"/>
          <w:szCs w:val="32"/>
          <w:lang w:val="en-US" w:eastAsia="zh-CN"/>
        </w:rPr>
        <w:t>奖励2022年度市本级新增规模工业企业奖励。</w:t>
      </w:r>
    </w:p>
    <w:p w14:paraId="17433E38">
      <w:pPr>
        <w:pStyle w:val="2"/>
        <w:keepNext w:val="0"/>
        <w:keepLines w:val="0"/>
        <w:pageBreakBefore w:val="0"/>
        <w:widowControl w:val="0"/>
        <w:kinsoku/>
        <w:wordWrap/>
        <w:overflowPunct/>
        <w:topLinePunct w:val="0"/>
        <w:autoSpaceDE/>
        <w:autoSpaceDN/>
        <w:bidi w:val="0"/>
        <w:adjustRightInd/>
        <w:spacing w:line="560" w:lineRule="exact"/>
        <w:ind w:left="0" w:leftChars="0" w:firstLine="640" w:firstLineChars="200"/>
        <w:rPr>
          <w:rFonts w:hint="eastAsia"/>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sz w:val="32"/>
          <w:szCs w:val="32"/>
          <w:lang w:val="en-US" w:eastAsia="zh-CN"/>
        </w:rPr>
        <w:t>2022年度真抓实干奖励</w:t>
      </w:r>
    </w:p>
    <w:p w14:paraId="1E6048F3">
      <w:pPr>
        <w:pStyle w:val="2"/>
        <w:keepNext w:val="0"/>
        <w:keepLines w:val="0"/>
        <w:pageBreakBefore w:val="0"/>
        <w:widowControl w:val="0"/>
        <w:kinsoku/>
        <w:wordWrap/>
        <w:overflowPunct/>
        <w:topLinePunct w:val="0"/>
        <w:autoSpaceDE/>
        <w:autoSpaceDN/>
        <w:bidi w:val="0"/>
        <w:adjustRightInd/>
        <w:spacing w:line="560" w:lineRule="exact"/>
        <w:ind w:left="0" w:leftChars="0" w:firstLine="640" w:firstLineChars="200"/>
        <w:rPr>
          <w:rFonts w:hint="eastAsia" w:ascii="Times New Roman" w:hAnsi="Times New Roman" w:eastAsia="黑体" w:cs="Times New Roman"/>
          <w:b w:val="0"/>
          <w:i w:val="0"/>
          <w:caps w:val="0"/>
          <w:color w:val="auto"/>
          <w:spacing w:val="0"/>
          <w:w w:val="100"/>
          <w:kern w:val="0"/>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sz w:val="32"/>
          <w:szCs w:val="32"/>
          <w:lang w:val="en-US" w:eastAsia="zh-CN"/>
        </w:rPr>
        <w:t>2022年度真抓实干奖励资金年</w:t>
      </w:r>
      <w:r>
        <w:rPr>
          <w:rFonts w:hint="eastAsia" w:ascii="仿宋_GB2312" w:hAnsi="仿宋_GB2312" w:eastAsia="仿宋_GB2312" w:cs="仿宋_GB2312"/>
          <w:sz w:val="32"/>
          <w:szCs w:val="32"/>
          <w:lang w:val="en-US" w:eastAsia="zh-CN"/>
        </w:rPr>
        <w:t>初预算0万元，调整预算</w:t>
      </w:r>
      <w:r>
        <w:rPr>
          <w:rFonts w:hint="eastAsia" w:hAnsi="仿宋_GB2312" w:cs="仿宋_GB2312"/>
          <w:sz w:val="32"/>
          <w:szCs w:val="32"/>
          <w:lang w:val="en-US" w:eastAsia="zh-CN"/>
        </w:rPr>
        <w:t>100</w:t>
      </w:r>
      <w:r>
        <w:rPr>
          <w:rFonts w:hint="eastAsia" w:ascii="仿宋_GB2312" w:hAnsi="仿宋_GB2312" w:eastAsia="仿宋_GB2312" w:cs="仿宋_GB2312"/>
          <w:sz w:val="32"/>
          <w:szCs w:val="32"/>
          <w:lang w:val="en-US" w:eastAsia="zh-CN"/>
        </w:rPr>
        <w:t>万元，预算执行</w:t>
      </w:r>
      <w:r>
        <w:rPr>
          <w:rFonts w:hint="eastAsia" w:hAnsi="仿宋_GB2312" w:cs="仿宋_GB2312"/>
          <w:sz w:val="32"/>
          <w:szCs w:val="32"/>
          <w:lang w:val="en-US" w:eastAsia="zh-CN"/>
        </w:rPr>
        <w:t>60.87</w:t>
      </w:r>
      <w:r>
        <w:rPr>
          <w:rFonts w:hint="eastAsia" w:ascii="仿宋_GB2312" w:hAnsi="仿宋_GB2312" w:eastAsia="仿宋_GB2312" w:cs="仿宋_GB2312"/>
          <w:sz w:val="32"/>
          <w:szCs w:val="32"/>
          <w:lang w:val="en-US" w:eastAsia="zh-CN"/>
        </w:rPr>
        <w:t>万元，预算执行率</w:t>
      </w:r>
      <w:r>
        <w:rPr>
          <w:rFonts w:hint="eastAsia" w:hAnsi="仿宋_GB2312" w:cs="仿宋_GB2312"/>
          <w:sz w:val="32"/>
          <w:szCs w:val="32"/>
          <w:lang w:val="en-US" w:eastAsia="zh-CN"/>
        </w:rPr>
        <w:t>60.87</w:t>
      </w:r>
      <w:r>
        <w:rPr>
          <w:rFonts w:hint="eastAsia" w:ascii="仿宋_GB2312" w:hAnsi="仿宋_GB2312" w:eastAsia="仿宋_GB2312" w:cs="仿宋_GB2312"/>
          <w:sz w:val="32"/>
          <w:szCs w:val="32"/>
          <w:lang w:val="en-US" w:eastAsia="zh-CN"/>
        </w:rPr>
        <w:t>%。</w:t>
      </w:r>
      <w:r>
        <w:rPr>
          <w:rFonts w:hint="eastAsia" w:hAnsi="仿宋_GB2312" w:cs="仿宋_GB2312"/>
          <w:sz w:val="32"/>
          <w:szCs w:val="32"/>
          <w:lang w:val="en-US" w:eastAsia="zh-CN"/>
        </w:rPr>
        <w:t>预算执行率不高的主要原因系资金年底才下达。</w:t>
      </w:r>
      <w:r>
        <w:rPr>
          <w:rFonts w:hint="eastAsia" w:ascii="仿宋_GB2312" w:hAnsi="仿宋_GB2312" w:eastAsia="仿宋_GB2312" w:cs="仿宋_GB2312"/>
          <w:sz w:val="32"/>
          <w:szCs w:val="32"/>
          <w:lang w:val="en-US" w:eastAsia="zh-CN"/>
        </w:rPr>
        <w:t>主要用于保障推动全市工业高质量发展</w:t>
      </w:r>
      <w:r>
        <w:rPr>
          <w:rFonts w:hint="eastAsia" w:ascii="仿宋_GB2312" w:hAnsi="仿宋_GB2312" w:eastAsia="仿宋_GB2312" w:cs="仿宋_GB2312"/>
          <w:sz w:val="32"/>
          <w:szCs w:val="32"/>
        </w:rPr>
        <w:t>等各项支出，包括办公费、印刷费、邮电费、培训费、会议费、差旅费、租赁费、委托业务费等。</w:t>
      </w:r>
      <w:r>
        <w:rPr>
          <w:rFonts w:hint="eastAsia" w:eastAsia="仿宋_GB2312" w:cs="Times New Roman"/>
          <w:b w:val="0"/>
          <w:bCs w:val="0"/>
          <w:i w:val="0"/>
          <w:caps w:val="0"/>
          <w:color w:val="auto"/>
          <w:spacing w:val="0"/>
          <w:w w:val="100"/>
          <w:sz w:val="32"/>
          <w:szCs w:val="32"/>
          <w:lang w:val="en-US" w:eastAsia="zh-CN"/>
        </w:rPr>
        <w:t>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p>
    <w:p w14:paraId="423A3C2C">
      <w:pPr>
        <w:pStyle w:val="3"/>
        <w:keepNext w:val="0"/>
        <w:keepLines w:val="0"/>
        <w:pageBreakBefore w:val="0"/>
        <w:widowControl w:val="0"/>
        <w:kinsoku/>
        <w:wordWrap/>
        <w:overflowPunct/>
        <w:topLinePunct w:val="0"/>
        <w:autoSpaceDE/>
        <w:autoSpaceDN/>
        <w:bidi w:val="0"/>
        <w:adjustRightInd/>
        <w:spacing w:line="560" w:lineRule="exact"/>
        <w:ind w:left="0" w:leftChars="0" w:firstLine="600" w:firstLineChars="0"/>
        <w:rPr>
          <w:rFonts w:hint="eastAsia"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（4）2023年中央无线电管理经费</w:t>
      </w:r>
    </w:p>
    <w:p w14:paraId="00BB42D2">
      <w:pPr>
        <w:keepNext w:val="0"/>
        <w:keepLines w:val="0"/>
        <w:pageBreakBefore w:val="0"/>
        <w:widowControl w:val="0"/>
        <w:kinsoku/>
        <w:wordWrap/>
        <w:overflowPunct/>
        <w:topLinePunct w:val="0"/>
        <w:autoSpaceDE/>
        <w:autoSpaceDN/>
        <w:bidi w:val="0"/>
        <w:adjustRightInd/>
        <w:snapToGrid/>
        <w:spacing w:line="560" w:lineRule="exact"/>
        <w:ind w:left="0" w:leftChars="0" w:firstLine="640"/>
        <w:textAlignment w:val="auto"/>
        <w:rPr>
          <w:rFonts w:hint="eastAsia"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中央无线电管理经费年初预算0万元，调整预算128.48万元，预算执行128.48万元，预算执行率100%。主要用于无线电管理方面设备运维、专用房屋维护及无线电专项监管方面的办公费、差旅费、宣传费、培训费、劳务费、委托业务费等相关支出方面。2023年度我局积极探索新形势下无线电管理模式，认真履行职能职责，全力维护电波秩序，较好地完成了各项工作任务。在全省无线电管理年度工作会上作了典型发言，并获得了全省无线电管理工作综合评价考核第一名。在全省无线电管理机构岗位练兵技能竞赛中获得2个团体项目三等奖，1个个人项目三等奖。管理处主任获得了市国家安全人民防线建设领导小组的先进个人表彰。</w:t>
      </w:r>
    </w:p>
    <w:p w14:paraId="6F36EACB">
      <w:pPr>
        <w:pStyle w:val="3"/>
        <w:keepNext w:val="0"/>
        <w:keepLines w:val="0"/>
        <w:pageBreakBefore w:val="0"/>
        <w:widowControl w:val="0"/>
        <w:numPr>
          <w:ilvl w:val="0"/>
          <w:numId w:val="4"/>
        </w:numPr>
        <w:kinsoku/>
        <w:wordWrap/>
        <w:overflowPunct/>
        <w:topLinePunct w:val="0"/>
        <w:autoSpaceDE/>
        <w:autoSpaceDN/>
        <w:bidi w:val="0"/>
        <w:adjustRightInd/>
        <w:spacing w:line="560" w:lineRule="exact"/>
        <w:ind w:left="0" w:leftChars="0" w:firstLine="600" w:firstLineChars="0"/>
        <w:rPr>
          <w:rFonts w:hint="eastAsia"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专精特新“小巨人”企业奖励资金</w:t>
      </w:r>
    </w:p>
    <w:p w14:paraId="5101A17A">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jc w:val="both"/>
        <w:rPr>
          <w:rFonts w:hint="default"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专精特新“小巨人”企业奖励资金年初预算0万元，调整预算767.5万元，预算执行767.5万元，预算执行率100%。主要用于对我市2022年评价认定的新增国家级、省级、市级专精特新“小巨人”企业分别奖励50万元、20万元、5万元，奖励资金市、县两级财政各承担50%。市本级奖励资金共计767.5万元。202</w:t>
      </w:r>
      <w:r>
        <w:rPr>
          <w:rFonts w:hint="eastAsia" w:eastAsia="仿宋_GB2312" w:cs="Times New Roman"/>
          <w:b w:val="0"/>
          <w:bCs w:val="0"/>
          <w:i w:val="0"/>
          <w:caps w:val="0"/>
          <w:color w:val="auto"/>
          <w:spacing w:val="0"/>
          <w:w w:val="100"/>
          <w:kern w:val="2"/>
          <w:sz w:val="32"/>
          <w:szCs w:val="32"/>
          <w:lang w:val="en-US" w:eastAsia="zh-CN" w:bidi="ar-SA"/>
        </w:rPr>
        <w:t>3</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年，我市</w:t>
      </w:r>
      <w:r>
        <w:rPr>
          <w:rFonts w:hint="eastAsia" w:eastAsia="仿宋_GB2312" w:cs="Times New Roman"/>
          <w:b w:val="0"/>
          <w:bCs w:val="0"/>
          <w:i w:val="0"/>
          <w:caps w:val="0"/>
          <w:color w:val="auto"/>
          <w:spacing w:val="0"/>
          <w:w w:val="100"/>
          <w:kern w:val="2"/>
          <w:sz w:val="32"/>
          <w:szCs w:val="32"/>
          <w:lang w:val="en-US" w:eastAsia="zh-CN" w:bidi="ar-SA"/>
        </w:rPr>
        <w:t>深入贯彻</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中央、省、市相关决策部署，积极引导广大中小企业加大创新投入，持续走专精特新发展之路，专精特新“小巨人”企业培育加速并取得明显成效。</w:t>
      </w:r>
    </w:p>
    <w:p w14:paraId="2D1CBF5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）2023年上半年全市“五好”园区大比武暨现场观摩会议经费</w:t>
      </w:r>
    </w:p>
    <w:p w14:paraId="1DEBEB2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w:t>
      </w:r>
      <w:r>
        <w:rPr>
          <w:rFonts w:hint="eastAsia" w:ascii="仿宋_GB2312" w:hAnsi="仿宋_GB2312" w:eastAsia="仿宋_GB2312" w:cs="仿宋_GB2312"/>
          <w:sz w:val="32"/>
          <w:szCs w:val="32"/>
          <w:lang w:eastAsia="zh-CN"/>
        </w:rPr>
        <w:t>上半年全市“五好”园区大比武暨现场观摩会议经费</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年初预算0万元，调整预算2.89万元，预算执行2.89万元，预算执行率100%。主要用于</w:t>
      </w:r>
      <w:r>
        <w:rPr>
          <w:rFonts w:hint="eastAsia" w:ascii="仿宋_GB2312" w:hAnsi="仿宋_GB2312" w:eastAsia="仿宋_GB2312" w:cs="仿宋_GB2312"/>
          <w:sz w:val="32"/>
          <w:szCs w:val="32"/>
          <w:lang w:eastAsia="zh-CN"/>
        </w:rPr>
        <w:t>全市“五好”园区大比武暨现场观摩会议</w:t>
      </w:r>
      <w:r>
        <w:rPr>
          <w:rFonts w:hint="eastAsia" w:ascii="仿宋_GB2312" w:hAnsi="仿宋_GB2312" w:eastAsia="仿宋_GB2312" w:cs="仿宋_GB2312"/>
          <w:sz w:val="32"/>
          <w:szCs w:val="32"/>
          <w:lang w:val="en-US" w:eastAsia="zh-CN"/>
        </w:rPr>
        <w:t>费、其他交通费、印刷费等。现场观摩会</w:t>
      </w:r>
      <w:r>
        <w:rPr>
          <w:rFonts w:hint="eastAsia" w:ascii="仿宋_GB2312" w:hAnsi="Times New Roman" w:eastAsia="仿宋_GB2312"/>
          <w:sz w:val="32"/>
          <w:szCs w:val="32"/>
        </w:rPr>
        <w:t>检视</w:t>
      </w:r>
      <w:r>
        <w:rPr>
          <w:rFonts w:hint="eastAsia" w:ascii="仿宋_GB2312" w:hAnsi="Times New Roman" w:eastAsia="仿宋_GB2312"/>
          <w:sz w:val="32"/>
          <w:szCs w:val="32"/>
          <w:lang w:val="en-US" w:eastAsia="zh-CN"/>
        </w:rPr>
        <w:t>了</w:t>
      </w:r>
      <w:r>
        <w:rPr>
          <w:rStyle w:val="22"/>
          <w:rFonts w:hint="eastAsia" w:ascii="仿宋_GB2312" w:hAnsi="仿宋" w:eastAsia="仿宋_GB2312"/>
          <w:color w:val="000000"/>
          <w:sz w:val="32"/>
          <w:szCs w:val="32"/>
        </w:rPr>
        <w:t>全市创建“五好”园区暨重点产业项目推进工作成效，</w:t>
      </w:r>
      <w:r>
        <w:rPr>
          <w:rStyle w:val="22"/>
          <w:rFonts w:hint="eastAsia" w:ascii="仿宋_GB2312" w:hAnsi="仿宋" w:eastAsia="仿宋_GB2312"/>
          <w:color w:val="000000"/>
          <w:sz w:val="32"/>
          <w:szCs w:val="32"/>
          <w:lang w:val="en-US"/>
        </w:rPr>
        <w:t>并对</w:t>
      </w:r>
      <w:r>
        <w:rPr>
          <w:rStyle w:val="22"/>
          <w:rFonts w:hint="eastAsia" w:ascii="仿宋_GB2312" w:hAnsi="仿宋" w:eastAsia="仿宋_GB2312"/>
          <w:color w:val="000000"/>
          <w:sz w:val="32"/>
          <w:szCs w:val="32"/>
        </w:rPr>
        <w:t>下阶段全市创建“五好”园区暨重点产业项目推进工作</w:t>
      </w:r>
      <w:r>
        <w:rPr>
          <w:rStyle w:val="22"/>
          <w:rFonts w:hint="eastAsia" w:ascii="仿宋_GB2312" w:hAnsi="仿宋" w:eastAsia="仿宋_GB2312"/>
          <w:color w:val="000000"/>
          <w:sz w:val="32"/>
          <w:szCs w:val="32"/>
          <w:lang w:val="en-US"/>
        </w:rPr>
        <w:t>进行了</w:t>
      </w:r>
      <w:r>
        <w:rPr>
          <w:rStyle w:val="22"/>
          <w:rFonts w:hint="eastAsia" w:ascii="仿宋_GB2312" w:hAnsi="仿宋" w:eastAsia="仿宋_GB2312"/>
          <w:color w:val="000000"/>
          <w:sz w:val="32"/>
          <w:szCs w:val="32"/>
        </w:rPr>
        <w:t>安排</w:t>
      </w:r>
      <w:r>
        <w:rPr>
          <w:rFonts w:hint="eastAsia" w:ascii="仿宋_GB2312" w:hAnsi="仿宋_GB2312" w:eastAsia="仿宋_GB2312" w:cs="仿宋_GB2312"/>
          <w:sz w:val="32"/>
          <w:szCs w:val="32"/>
          <w:lang w:eastAsia="zh-CN"/>
        </w:rPr>
        <w:t>部署。</w:t>
      </w:r>
    </w:p>
    <w:p w14:paraId="1D1906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（7）新增规模工业企业培育发展奖励资金</w:t>
      </w:r>
    </w:p>
    <w:p w14:paraId="078FDD77">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w:t>
      </w:r>
      <w:r>
        <w:rPr>
          <w:rFonts w:hint="eastAsia" w:ascii="仿宋_GB2312" w:hAnsi="仿宋_GB2312" w:eastAsia="仿宋_GB2312" w:cs="仿宋_GB2312"/>
          <w:sz w:val="32"/>
          <w:szCs w:val="32"/>
          <w:lang w:val="en-US" w:eastAsia="zh-CN"/>
        </w:rPr>
        <w:t>新增规模工业企业培育发展奖励资金</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年初预算0万元，调整预算</w:t>
      </w:r>
      <w:r>
        <w:rPr>
          <w:rFonts w:hint="eastAsia" w:ascii="Times New Roman" w:hAnsi="Times New Roman" w:cs="Times New Roman"/>
          <w:b w:val="0"/>
          <w:bCs w:val="0"/>
          <w:i w:val="0"/>
          <w:caps w:val="0"/>
          <w:color w:val="auto"/>
          <w:spacing w:val="0"/>
          <w:w w:val="100"/>
          <w:kern w:val="2"/>
          <w:sz w:val="32"/>
          <w:szCs w:val="32"/>
          <w:lang w:val="en-US" w:eastAsia="zh-CN" w:bidi="ar-SA"/>
        </w:rPr>
        <w:t>70</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w:t>
      </w:r>
      <w:r>
        <w:rPr>
          <w:rFonts w:hint="eastAsia" w:ascii="Times New Roman" w:hAnsi="Times New Roman" w:cs="Times New Roman"/>
          <w:b w:val="0"/>
          <w:bCs w:val="0"/>
          <w:i w:val="0"/>
          <w:caps w:val="0"/>
          <w:color w:val="auto"/>
          <w:spacing w:val="0"/>
          <w:w w:val="100"/>
          <w:kern w:val="2"/>
          <w:sz w:val="32"/>
          <w:szCs w:val="32"/>
          <w:lang w:val="en-US" w:eastAsia="zh-CN" w:bidi="ar-SA"/>
        </w:rPr>
        <w:t>70</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万元，预算执行率100%。</w:t>
      </w:r>
      <w:r>
        <w:rPr>
          <w:rFonts w:hint="eastAsia" w:ascii="仿宋_GB2312" w:hAnsi="仿宋_GB2312" w:eastAsia="仿宋_GB2312" w:cs="仿宋_GB2312"/>
          <w:sz w:val="32"/>
          <w:szCs w:val="32"/>
          <w:lang w:val="en-US" w:eastAsia="zh-CN"/>
        </w:rPr>
        <w:t>主要用于保障</w:t>
      </w:r>
      <w:r>
        <w:rPr>
          <w:rFonts w:hint="eastAsia" w:hAnsi="仿宋_GB2312" w:cs="仿宋_GB2312"/>
          <w:sz w:val="32"/>
          <w:szCs w:val="32"/>
          <w:lang w:val="en-US" w:eastAsia="zh-CN"/>
        </w:rPr>
        <w:t>规模工业企业培育发展工作</w:t>
      </w:r>
      <w:r>
        <w:rPr>
          <w:rFonts w:hint="eastAsia" w:ascii="仿宋_GB2312" w:hAnsi="仿宋_GB2312" w:eastAsia="仿宋_GB2312" w:cs="仿宋_GB2312"/>
          <w:sz w:val="32"/>
          <w:szCs w:val="32"/>
        </w:rPr>
        <w:t>各项支出，包括办公费、印刷费、邮电费、培训费、会议费、差旅费、租赁费、委托业务费等。</w:t>
      </w:r>
      <w:r>
        <w:rPr>
          <w:rFonts w:hint="eastAsia" w:ascii="仿宋_GB2312" w:hAnsi="仿宋_GB2312" w:eastAsia="仿宋_GB2312" w:cs="仿宋_GB2312"/>
          <w:sz w:val="32"/>
          <w:szCs w:val="32"/>
          <w:lang w:val="en-US" w:eastAsia="zh-CN"/>
        </w:rPr>
        <w:t>2023年度，我局</w:t>
      </w:r>
      <w:r>
        <w:rPr>
          <w:rFonts w:hint="eastAsia" w:ascii="Times New Roman" w:hAnsi="Times New Roman" w:eastAsia="仿宋_GB2312" w:cs="Times New Roman"/>
          <w:b w:val="0"/>
          <w:bCs w:val="0"/>
          <w:i w:val="0"/>
          <w:caps w:val="0"/>
          <w:color w:val="auto"/>
          <w:spacing w:val="0"/>
          <w:w w:val="100"/>
          <w:sz w:val="32"/>
          <w:szCs w:val="32"/>
          <w:lang w:val="en-US" w:eastAsia="zh-CN"/>
        </w:rPr>
        <w:t>扛牢工业“压舱石”的使命担当，强化工业经济运行监测调度，持续深化联企帮扶，提振企业发展信心，工业经济呈现企稳回升、稳中向好、稳中有进的良好态势。全年规模以上工业增加值增长2.5%；新增规模以上工业企业156家，排同类市州第1位</w:t>
      </w:r>
      <w:r>
        <w:rPr>
          <w:rFonts w:hint="eastAsia" w:ascii="Times New Roman" w:hAnsi="Times New Roman" w:eastAsia="仿宋_GB2312" w:cs="Times New Roman"/>
          <w:sz w:val="32"/>
          <w:szCs w:val="32"/>
          <w:lang w:val="en-US" w:eastAsia="zh-CN"/>
        </w:rPr>
        <w:t>。</w:t>
      </w:r>
    </w:p>
    <w:p w14:paraId="431026E1">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sz w:val="32"/>
          <w:szCs w:val="32"/>
        </w:rPr>
      </w:pPr>
      <w:r>
        <w:rPr>
          <w:rFonts w:hint="eastAsia" w:ascii="仿宋_GB2312" w:hAnsi="仿宋_GB2312" w:eastAsia="仿宋_GB2312" w:cs="仿宋_GB2312"/>
          <w:sz w:val="32"/>
          <w:szCs w:val="32"/>
          <w:lang w:val="en-US" w:eastAsia="zh-CN"/>
        </w:rPr>
        <w:t>（8）20</w:t>
      </w:r>
      <w:r>
        <w:rPr>
          <w:rFonts w:hint="eastAsia" w:ascii="仿宋_GB2312" w:hAnsi="仿宋_GB2312" w:eastAsia="仿宋_GB2312" w:cs="仿宋_GB2312"/>
          <w:sz w:val="32"/>
          <w:szCs w:val="32"/>
        </w:rPr>
        <w:t>23年上半年计算机软件水平与资格考试经费</w:t>
      </w:r>
    </w:p>
    <w:p w14:paraId="5EAEDE9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eastAsia="仿宋_GB2312"/>
          <w:sz w:val="32"/>
          <w:szCs w:val="32"/>
          <w:lang w:val="en-US" w:eastAsia="zh-CN"/>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w:t>
      </w:r>
      <w:r>
        <w:rPr>
          <w:rFonts w:hint="eastAsia" w:ascii="仿宋_GB2312" w:hAnsi="仿宋_GB2312" w:eastAsia="仿宋_GB2312" w:cs="仿宋_GB2312"/>
          <w:sz w:val="32"/>
          <w:szCs w:val="32"/>
        </w:rPr>
        <w:t>上半年计算机软件水平与资格考试经费</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年初预算0万元，调整预算</w:t>
      </w:r>
      <w:r>
        <w:rPr>
          <w:rFonts w:hint="eastAsia" w:cs="Times New Roman"/>
          <w:b w:val="0"/>
          <w:bCs w:val="0"/>
          <w:i w:val="0"/>
          <w:caps w:val="0"/>
          <w:color w:val="auto"/>
          <w:spacing w:val="0"/>
          <w:w w:val="100"/>
          <w:kern w:val="2"/>
          <w:sz w:val="32"/>
          <w:szCs w:val="32"/>
          <w:lang w:val="en-US" w:eastAsia="zh-CN" w:bidi="ar-SA"/>
        </w:rPr>
        <w:t>3.05</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w:t>
      </w:r>
      <w:r>
        <w:rPr>
          <w:rFonts w:hint="eastAsia" w:cs="Times New Roman"/>
          <w:b w:val="0"/>
          <w:bCs w:val="0"/>
          <w:i w:val="0"/>
          <w:caps w:val="0"/>
          <w:color w:val="auto"/>
          <w:spacing w:val="0"/>
          <w:w w:val="100"/>
          <w:kern w:val="2"/>
          <w:sz w:val="32"/>
          <w:szCs w:val="32"/>
          <w:lang w:val="en-US" w:eastAsia="zh-CN" w:bidi="ar-SA"/>
        </w:rPr>
        <w:t>3.05</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万元，预算执行率100%。该项目资金主要用于开展2023年上半年计算机软件水平与资格考试方面的办公费、工作餐、考务费等支出。</w:t>
      </w:r>
      <w:r>
        <w:rPr>
          <w:rFonts w:hint="eastAsia" w:eastAsia="仿宋_GB2312" w:cs="Times New Roman"/>
          <w:b w:val="0"/>
          <w:bCs w:val="0"/>
          <w:i w:val="0"/>
          <w:caps w:val="0"/>
          <w:color w:val="auto"/>
          <w:spacing w:val="0"/>
          <w:w w:val="100"/>
          <w:kern w:val="2"/>
          <w:sz w:val="32"/>
          <w:szCs w:val="32"/>
          <w:lang w:val="en-US" w:eastAsia="zh-CN" w:bidi="ar-SA"/>
        </w:rPr>
        <w:t>我局圆满完成了</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23年上半年计算机软件水平与资格考试</w:t>
      </w:r>
      <w:r>
        <w:rPr>
          <w:rFonts w:hint="eastAsia" w:ascii="仿宋_GB2312" w:hAnsi="仿宋_GB2312" w:eastAsia="仿宋_GB2312" w:cs="仿宋_GB2312"/>
          <w:sz w:val="32"/>
          <w:szCs w:val="32"/>
          <w:lang w:val="en-US" w:eastAsia="zh-CN"/>
        </w:rPr>
        <w:t>工作。</w:t>
      </w:r>
    </w:p>
    <w:p w14:paraId="3A428616">
      <w:pPr>
        <w:keepNext w:val="0"/>
        <w:keepLines w:val="0"/>
        <w:pageBreakBefore w:val="0"/>
        <w:widowControl w:val="0"/>
        <w:numPr>
          <w:ilvl w:val="0"/>
          <w:numId w:val="5"/>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永州市民营经济发展服务中心非税成本支出</w:t>
      </w:r>
    </w:p>
    <w:p w14:paraId="7CBB58AD">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年度，永州市民营经济发展服务中心非税成本支出年初预算36万元，调整预算</w:t>
      </w:r>
      <w:r>
        <w:rPr>
          <w:rFonts w:hint="eastAsia" w:ascii="仿宋_GB2312" w:hAnsi="仿宋_GB2312" w:eastAsia="仿宋_GB2312" w:cs="仿宋_GB2312"/>
          <w:sz w:val="32"/>
          <w:szCs w:val="32"/>
          <w:lang w:val="en-US" w:eastAsia="zh-CN"/>
        </w:rPr>
        <w:t>33.52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预算调整主要原因为：为落实疫情防控有关扶持政策，按市财政局要求，采取免收1个月门面租赁的补偿方式对承租户予以扶持，非税收入未达到预期目标故预算跟随调整。</w:t>
      </w:r>
      <w:r>
        <w:rPr>
          <w:rFonts w:hint="eastAsia" w:ascii="仿宋_GB2312" w:hAnsi="仿宋_GB2312" w:eastAsia="仿宋_GB2312" w:cs="仿宋_GB2312"/>
          <w:sz w:val="32"/>
          <w:szCs w:val="32"/>
        </w:rPr>
        <w:t>预算执行</w:t>
      </w:r>
      <w:r>
        <w:rPr>
          <w:rFonts w:hint="eastAsia" w:ascii="仿宋_GB2312" w:hAnsi="仿宋_GB2312" w:eastAsia="仿宋_GB2312" w:cs="仿宋_GB2312"/>
          <w:sz w:val="32"/>
          <w:szCs w:val="32"/>
          <w:lang w:val="en-US" w:eastAsia="zh-CN"/>
        </w:rPr>
        <w:t>33.52</w:t>
      </w:r>
      <w:r>
        <w:rPr>
          <w:rFonts w:hint="eastAsia" w:ascii="仿宋_GB2312" w:hAnsi="仿宋_GB2312" w:eastAsia="仿宋_GB2312" w:cs="仿宋_GB2312"/>
          <w:sz w:val="32"/>
          <w:szCs w:val="32"/>
        </w:rPr>
        <w:t>万元，结余</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%。主要保障支付原煤炭物资供应站自收自支人员按相关法律规定应享有的各项待遇，主要包括基本工资、绩</w:t>
      </w:r>
      <w:r>
        <w:rPr>
          <w:rFonts w:hint="eastAsia" w:ascii="仿宋_GB2312" w:hAnsi="仿宋_GB2312" w:eastAsia="仿宋_GB2312" w:cs="仿宋_GB2312"/>
          <w:sz w:val="32"/>
          <w:szCs w:val="32"/>
          <w:lang w:val="en-US" w:eastAsia="zh-CN"/>
        </w:rPr>
        <w:t>效工资、社保待遇、公积金、春节走访慰问、固定资产维修（护）等支出。</w:t>
      </w:r>
    </w:p>
    <w:p w14:paraId="59B3DA9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（10）2023年往来款</w:t>
      </w:r>
    </w:p>
    <w:p w14:paraId="289E262D">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2023年度，</w:t>
      </w:r>
      <w:r>
        <w:rPr>
          <w:rFonts w:hint="eastAsia" w:ascii="仿宋_GB2312" w:hAnsi="仿宋_GB2312" w:eastAsia="仿宋_GB2312" w:cs="仿宋_GB2312"/>
          <w:sz w:val="32"/>
          <w:szCs w:val="32"/>
          <w:lang w:val="en-US" w:eastAsia="zh-CN"/>
        </w:rPr>
        <w:t>往来款</w:t>
      </w:r>
      <w:r>
        <w:rPr>
          <w:rFonts w:hint="default" w:ascii="仿宋_GB2312" w:hAnsi="仿宋_GB2312" w:eastAsia="仿宋_GB2312" w:cs="仿宋_GB2312"/>
          <w:sz w:val="32"/>
          <w:szCs w:val="32"/>
          <w:lang w:val="en-US" w:eastAsia="zh-CN"/>
        </w:rPr>
        <w:t>年初预算0万元，调整预算55.56万元，资金到位率100%；预算执行55.56万元，结余0万元，预算执行率100%。该项目资金主要用于根据往来款项支出方向开展各项工作。</w:t>
      </w:r>
    </w:p>
    <w:p w14:paraId="3A44B052">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（11）往来款（职称评审）</w:t>
      </w:r>
    </w:p>
    <w:p w14:paraId="7102C099">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2023年度，往来款（职称评审）年初预算0万元，调整预算1.93万元，资金到位率100%；预算执行1.93万元，结余0万元，预算执行率100%。该项目资金主要用于支付2022年度中级职称评审工作的办公费、劳务费等。</w:t>
      </w:r>
    </w:p>
    <w:p w14:paraId="124EAB82">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（12）往来款（职称评审会议费）</w:t>
      </w:r>
    </w:p>
    <w:p w14:paraId="48F7040F">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default"/>
          <w:sz w:val="32"/>
          <w:szCs w:val="32"/>
          <w:lang w:val="en-US" w:eastAsia="zh-CN"/>
        </w:rPr>
      </w:pPr>
      <w:r>
        <w:rPr>
          <w:rFonts w:hint="eastAsia" w:ascii="仿宋_GB2312" w:hAnsi="仿宋_GB2312" w:eastAsia="仿宋_GB2312" w:cs="仿宋_GB2312"/>
          <w:sz w:val="32"/>
          <w:szCs w:val="32"/>
          <w:lang w:val="en-US" w:eastAsia="zh-CN"/>
        </w:rPr>
        <w:t>2023年度，往来款（职称评审）年初预算0万元，调整预算0.13万元，资金到位率100%；预算执行0.13万元，结余0万元，预算执行率100%。该项目资金主要用于支付2022年度中级职称评审工作的会议费。</w:t>
      </w:r>
    </w:p>
    <w:p w14:paraId="0AB59485">
      <w:pPr>
        <w:keepNext w:val="0"/>
        <w:keepLines w:val="0"/>
        <w:pageBreakBefore w:val="0"/>
        <w:widowControl w:val="0"/>
        <w:numPr>
          <w:ilvl w:val="0"/>
          <w:numId w:val="6"/>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专项资金管理情况分析</w:t>
      </w:r>
    </w:p>
    <w:p w14:paraId="2766EF90">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根据财政部《财政支出绩效评价管理暂行办法》、《湖南省人民政府关于全面推进预算绩效管理的意见》</w:t>
      </w:r>
      <w:r>
        <w:rPr>
          <w:rFonts w:hint="eastAsia" w:ascii="仿宋_GB2312" w:hAnsi="仿宋_GB2312" w:eastAsia="仿宋_GB2312" w:cs="仿宋_GB2312"/>
          <w:sz w:val="32"/>
          <w:szCs w:val="32"/>
          <w:lang w:val="en-US" w:eastAsia="zh-CN"/>
        </w:rPr>
        <w:t>等文件要求</w:t>
      </w:r>
      <w:r>
        <w:rPr>
          <w:rFonts w:hint="eastAsia" w:ascii="仿宋_GB2312" w:hAnsi="仿宋_GB2312" w:eastAsia="仿宋_GB2312" w:cs="仿宋_GB2312"/>
          <w:sz w:val="32"/>
          <w:szCs w:val="32"/>
        </w:rPr>
        <w:t>，我局建立了内部控制制度，严格按照制度管理项目资金。所有项目资金的使用按规定和要求进行资金拨付，全部</w:t>
      </w:r>
      <w:r>
        <w:rPr>
          <w:rFonts w:hint="eastAsia" w:ascii="仿宋_GB2312" w:hAnsi="仿宋_GB2312" w:eastAsia="仿宋_GB2312" w:cs="仿宋_GB2312"/>
          <w:sz w:val="32"/>
          <w:szCs w:val="32"/>
          <w:lang w:val="en-US" w:eastAsia="zh-CN"/>
        </w:rPr>
        <w:t>按照绩效目标支出方向列支经费</w:t>
      </w:r>
      <w:r>
        <w:rPr>
          <w:rFonts w:hint="eastAsia" w:ascii="仿宋_GB2312" w:hAnsi="仿宋_GB2312" w:eastAsia="仿宋_GB2312" w:cs="仿宋_GB2312"/>
          <w:sz w:val="32"/>
          <w:szCs w:val="32"/>
        </w:rPr>
        <w:t>。</w:t>
      </w:r>
    </w:p>
    <w:p w14:paraId="76AD0816">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政府性基金预算支出情况</w:t>
      </w:r>
    </w:p>
    <w:p w14:paraId="5AE3ACFA">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我单位无政府性基金预算支出</w:t>
      </w:r>
      <w:r>
        <w:rPr>
          <w:rFonts w:hint="eastAsia" w:ascii="仿宋_GB2312" w:hAnsi="仿宋_GB2312" w:eastAsia="仿宋_GB2312" w:cs="仿宋_GB2312"/>
          <w:sz w:val="32"/>
          <w:szCs w:val="32"/>
          <w:lang w:eastAsia="zh-CN"/>
        </w:rPr>
        <w:t>。</w:t>
      </w:r>
    </w:p>
    <w:p w14:paraId="52144C4D">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国有资本经营预算支出情况</w:t>
      </w:r>
    </w:p>
    <w:p w14:paraId="23CC432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我单位无国有资本经营预算支出</w:t>
      </w:r>
      <w:r>
        <w:rPr>
          <w:rFonts w:hint="eastAsia" w:ascii="仿宋_GB2312" w:hAnsi="仿宋_GB2312" w:eastAsia="仿宋_GB2312" w:cs="仿宋_GB2312"/>
          <w:sz w:val="32"/>
          <w:szCs w:val="32"/>
          <w:lang w:eastAsia="zh-CN"/>
        </w:rPr>
        <w:t>。</w:t>
      </w:r>
    </w:p>
    <w:p w14:paraId="164AB586">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社会保险基金预算支出情况</w:t>
      </w:r>
    </w:p>
    <w:p w14:paraId="702A094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我单位无社会保险基金预算支出</w:t>
      </w:r>
      <w:r>
        <w:rPr>
          <w:rFonts w:hint="eastAsia" w:ascii="仿宋_GB2312" w:hAnsi="仿宋_GB2312" w:eastAsia="仿宋_GB2312" w:cs="仿宋_GB2312"/>
          <w:sz w:val="32"/>
          <w:szCs w:val="32"/>
          <w:lang w:eastAsia="zh-CN"/>
        </w:rPr>
        <w:t>。</w:t>
      </w:r>
    </w:p>
    <w:p w14:paraId="601A004A">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部门整体支出绩效情况</w:t>
      </w:r>
    </w:p>
    <w:p w14:paraId="6A9BEDD3">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年以来，</w:t>
      </w:r>
      <w:r>
        <w:rPr>
          <w:rFonts w:hint="eastAsia" w:eastAsia="仿宋_GB2312" w:cs="Times New Roman"/>
          <w:b w:val="0"/>
          <w:bCs w:val="0"/>
          <w:i w:val="0"/>
          <w:caps w:val="0"/>
          <w:color w:val="auto"/>
          <w:spacing w:val="0"/>
          <w:w w:val="100"/>
          <w:sz w:val="32"/>
          <w:szCs w:val="32"/>
          <w:lang w:val="en-US" w:eastAsia="zh-CN"/>
        </w:rPr>
        <w:t>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r>
        <w:rPr>
          <w:rFonts w:hint="eastAsia" w:ascii="仿宋_GB2312" w:hAnsi="仿宋_GB2312" w:eastAsia="仿宋_GB2312" w:cs="仿宋_GB2312"/>
          <w:sz w:val="32"/>
          <w:szCs w:val="32"/>
          <w:lang w:val="en-US" w:eastAsia="zh-CN"/>
        </w:rPr>
        <w:t>我单位</w:t>
      </w:r>
      <w:r>
        <w:rPr>
          <w:rFonts w:hint="eastAsia" w:ascii="仿宋_GB2312" w:hAnsi="仿宋_GB2312" w:eastAsia="仿宋_GB2312" w:cs="仿宋_GB2312"/>
          <w:sz w:val="32"/>
          <w:szCs w:val="32"/>
        </w:rPr>
        <w:t>圆满完成了预算规划的各项工作及市委、市政府交办的其他事项，履行了部门各项职责，达到了预算所设立的主要目标，202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年度永州市工业和信息化局部门整体支出绩效自评结果为</w:t>
      </w:r>
      <w:r>
        <w:rPr>
          <w:rFonts w:hint="eastAsia" w:ascii="仿宋_GB2312" w:hAnsi="仿宋_GB2312" w:eastAsia="仿宋_GB2312" w:cs="仿宋_GB2312"/>
          <w:sz w:val="32"/>
          <w:szCs w:val="32"/>
          <w:lang w:val="en-US" w:eastAsia="zh-CN"/>
        </w:rPr>
        <w:t>98</w:t>
      </w:r>
      <w:r>
        <w:rPr>
          <w:rFonts w:hint="eastAsia" w:ascii="仿宋_GB2312" w:hAnsi="仿宋_GB2312" w:eastAsia="仿宋_GB2312" w:cs="仿宋_GB2312"/>
          <w:sz w:val="32"/>
          <w:szCs w:val="32"/>
        </w:rPr>
        <w:t>分。</w:t>
      </w:r>
    </w:p>
    <w:p w14:paraId="17AC39F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经济效益评价</w:t>
      </w:r>
    </w:p>
    <w:p w14:paraId="5D14F74D">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color w:val="auto"/>
          <w:sz w:val="32"/>
          <w:szCs w:val="32"/>
          <w:lang w:val="en-US" w:eastAsia="zh-CN"/>
        </w:rPr>
        <w:t>2023年，</w:t>
      </w:r>
      <w:r>
        <w:rPr>
          <w:rFonts w:hint="eastAsia" w:ascii="仿宋_GB2312" w:hAnsi="仿宋_GB2312" w:eastAsia="仿宋_GB2312" w:cs="仿宋_GB2312"/>
          <w:color w:val="auto"/>
          <w:sz w:val="32"/>
          <w:szCs w:val="32"/>
        </w:rPr>
        <w:t>在市委市政府的坚强领导下，全市工信系统</w:t>
      </w:r>
      <w:r>
        <w:rPr>
          <w:rFonts w:hint="eastAsia" w:ascii="仿宋_GB2312" w:hAnsi="仿宋_GB2312" w:eastAsia="仿宋_GB2312" w:cs="仿宋_GB2312"/>
          <w:b w:val="0"/>
          <w:i w:val="0"/>
          <w:caps w:val="0"/>
          <w:color w:val="auto"/>
          <w:spacing w:val="0"/>
          <w:w w:val="100"/>
          <w:sz w:val="32"/>
          <w:szCs w:val="32"/>
          <w:lang w:val="en-US" w:eastAsia="zh-CN"/>
        </w:rPr>
        <w:t>全面落实</w:t>
      </w:r>
      <w:r>
        <w:rPr>
          <w:rFonts w:hint="eastAsia" w:ascii="仿宋_GB2312" w:hAnsi="仿宋_GB2312" w:eastAsia="仿宋_GB2312" w:cs="仿宋_GB2312"/>
          <w:b w:val="0"/>
          <w:i w:val="0"/>
          <w:caps w:val="0"/>
          <w:color w:val="auto"/>
          <w:spacing w:val="0"/>
          <w:w w:val="100"/>
          <w:sz w:val="32"/>
          <w:szCs w:val="32"/>
        </w:rPr>
        <w:t>“三高四新”战略定位和使命任务，</w:t>
      </w:r>
      <w:r>
        <w:rPr>
          <w:rFonts w:hint="eastAsia" w:ascii="仿宋_GB2312" w:hAnsi="仿宋_GB2312" w:eastAsia="仿宋_GB2312" w:cs="仿宋_GB2312"/>
          <w:b w:val="0"/>
          <w:i w:val="0"/>
          <w:caps w:val="0"/>
          <w:color w:val="auto"/>
          <w:spacing w:val="0"/>
          <w:w w:val="100"/>
          <w:kern w:val="0"/>
          <w:sz w:val="32"/>
          <w:szCs w:val="32"/>
          <w:lang w:val="en-US" w:eastAsia="zh-CN"/>
        </w:rPr>
        <w:t>坚持“稳进高新”工作方针，</w:t>
      </w:r>
      <w:r>
        <w:rPr>
          <w:rFonts w:hint="eastAsia" w:ascii="仿宋_GB2312" w:hAnsi="仿宋_GB2312" w:eastAsia="仿宋_GB2312" w:cs="仿宋_GB2312"/>
          <w:color w:val="auto"/>
          <w:sz w:val="32"/>
          <w:szCs w:val="32"/>
        </w:rPr>
        <w:t>高效统筹疫情防控和工业经济发展，</w:t>
      </w:r>
      <w:r>
        <w:rPr>
          <w:rFonts w:hint="eastAsia" w:ascii="仿宋_GB2312" w:hAnsi="仿宋_GB2312" w:eastAsia="仿宋_GB2312" w:cs="仿宋_GB2312"/>
          <w:b w:val="0"/>
          <w:bCs w:val="0"/>
          <w:i w:val="0"/>
          <w:caps w:val="0"/>
          <w:color w:val="auto"/>
          <w:spacing w:val="0"/>
          <w:w w:val="100"/>
          <w:sz w:val="32"/>
          <w:szCs w:val="32"/>
          <w:lang w:val="en-US" w:eastAsia="zh-CN"/>
        </w:rPr>
        <w:t>锚定在全省版图中增加永州分量的目标，扎实推进“三大支撑八项重点”工作，</w:t>
      </w:r>
      <w:r>
        <w:rPr>
          <w:rFonts w:hint="eastAsia" w:ascii="仿宋_GB2312" w:hAnsi="仿宋_GB2312" w:eastAsia="仿宋_GB2312" w:cs="仿宋_GB2312"/>
          <w:b w:val="0"/>
          <w:i w:val="0"/>
          <w:caps w:val="0"/>
          <w:color w:val="auto"/>
          <w:spacing w:val="0"/>
          <w:w w:val="100"/>
          <w:kern w:val="0"/>
          <w:sz w:val="32"/>
          <w:szCs w:val="32"/>
          <w:lang w:val="en-US" w:eastAsia="zh-CN"/>
        </w:rPr>
        <w:t>全力以赴稳增长、强集群、育企业、建平台，推动各项工作取得新成效，多项指标走在全省前列，实现了工业经济质的有效提升和量的合理增长，全市</w:t>
      </w:r>
      <w:r>
        <w:rPr>
          <w:rFonts w:hint="eastAsia" w:ascii="仿宋_GB2312" w:hAnsi="仿宋_GB2312" w:eastAsia="仿宋_GB2312" w:cs="仿宋_GB2312"/>
          <w:b w:val="0"/>
          <w:bCs w:val="0"/>
          <w:i w:val="0"/>
          <w:caps w:val="0"/>
          <w:color w:val="auto"/>
          <w:spacing w:val="0"/>
          <w:w w:val="100"/>
          <w:sz w:val="32"/>
          <w:szCs w:val="32"/>
          <w:lang w:val="en-US" w:eastAsia="zh-CN"/>
        </w:rPr>
        <w:t>工业经济回升向好，</w:t>
      </w:r>
      <w:r>
        <w:rPr>
          <w:rFonts w:hint="eastAsia" w:ascii="Times New Roman" w:hAnsi="Times New Roman" w:eastAsia="仿宋_GB2312" w:cs="Times New Roman"/>
          <w:b w:val="0"/>
          <w:bCs w:val="0"/>
          <w:i w:val="0"/>
          <w:caps w:val="0"/>
          <w:color w:val="auto"/>
          <w:spacing w:val="0"/>
          <w:w w:val="100"/>
          <w:sz w:val="32"/>
          <w:szCs w:val="32"/>
          <w:lang w:val="en-US" w:eastAsia="zh-CN"/>
        </w:rPr>
        <w:t>全年规模以上工业增加值增长2.5%；新增规模以上工业企业156家，排同类市州第1位</w:t>
      </w:r>
      <w:r>
        <w:rPr>
          <w:rFonts w:hint="eastAsia" w:ascii="Times New Roman" w:hAnsi="Times New Roman" w:eastAsia="仿宋_GB2312" w:cs="Times New Roman"/>
          <w:sz w:val="32"/>
          <w:szCs w:val="32"/>
          <w:lang w:val="en-US" w:eastAsia="zh-CN"/>
        </w:rPr>
        <w:t>。</w:t>
      </w:r>
    </w:p>
    <w:p w14:paraId="0356CD3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楷体_GB2312" w:hAnsi="楷体_GB2312" w:eastAsia="楷体_GB2312" w:cs="楷体_GB2312"/>
          <w:b/>
          <w:bCs/>
          <w:i w:val="0"/>
          <w:caps w:val="0"/>
          <w:color w:val="auto"/>
          <w:spacing w:val="0"/>
          <w:w w:val="100"/>
          <w:kern w:val="0"/>
          <w:sz w:val="32"/>
          <w:szCs w:val="32"/>
          <w:lang w:val="en-US" w:eastAsia="zh-CN"/>
        </w:rPr>
      </w:pPr>
      <w:r>
        <w:rPr>
          <w:rFonts w:hint="eastAsia" w:ascii="楷体_GB2312" w:hAnsi="楷体_GB2312" w:eastAsia="楷体_GB2312" w:cs="楷体_GB2312"/>
          <w:b/>
          <w:bCs/>
          <w:i w:val="0"/>
          <w:caps w:val="0"/>
          <w:color w:val="auto"/>
          <w:spacing w:val="0"/>
          <w:w w:val="100"/>
          <w:kern w:val="0"/>
          <w:sz w:val="32"/>
          <w:szCs w:val="32"/>
          <w:lang w:val="en-US" w:eastAsia="zh-CN"/>
        </w:rPr>
        <w:t>（二）管理效率评价</w:t>
      </w:r>
    </w:p>
    <w:p w14:paraId="5758A6A3">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val="0"/>
          <w:i w:val="0"/>
          <w:caps w:val="0"/>
          <w:color w:val="auto"/>
          <w:spacing w:val="0"/>
          <w:w w:val="100"/>
          <w:kern w:val="0"/>
          <w:sz w:val="32"/>
          <w:szCs w:val="32"/>
          <w:lang w:val="en-US" w:eastAsia="zh-CN"/>
        </w:rPr>
        <w:t>为强化部门整体支出，加</w:t>
      </w:r>
      <w:r>
        <w:rPr>
          <w:rFonts w:hint="eastAsia" w:ascii="仿宋_GB2312" w:hAnsi="仿宋_GB2312" w:eastAsia="仿宋_GB2312" w:cs="仿宋_GB2312"/>
          <w:sz w:val="32"/>
          <w:szCs w:val="32"/>
        </w:rPr>
        <w:t>强资金使用效益，提升财务管理，建立节约型机关，我局以优化内部结构，健全规章制度，强化内部管理，规范办事程序，提高服务质量为重点，在强化业务管理、财务管理和厉行节约方面开展了大量工作，机关工作作风进一步改变，行政效能进一步提高。</w:t>
      </w:r>
    </w:p>
    <w:p w14:paraId="14B909C8">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1.实行重点管控，确保“三公”等经费只减不增。</w:t>
      </w:r>
      <w:r>
        <w:rPr>
          <w:rFonts w:hint="eastAsia" w:ascii="仿宋_GB2312" w:hAnsi="仿宋_GB2312" w:eastAsia="仿宋_GB2312" w:cs="仿宋_GB2312"/>
          <w:sz w:val="32"/>
          <w:szCs w:val="32"/>
        </w:rPr>
        <w:t>一是与公务无关的接待不予报销，严格按标准接待。二是从严从紧控制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经费支出标准和范围</w:t>
      </w:r>
      <w:r>
        <w:rPr>
          <w:rFonts w:hint="eastAsia" w:ascii="仿宋_GB2312" w:hAnsi="仿宋_GB2312" w:eastAsia="仿宋_GB2312" w:cs="仿宋_GB2312"/>
          <w:sz w:val="32"/>
          <w:szCs w:val="32"/>
        </w:rPr>
        <w:t>。</w:t>
      </w:r>
    </w:p>
    <w:p w14:paraId="6FA30007">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2.严格审核审批，严控经费支出。</w:t>
      </w:r>
      <w:r>
        <w:rPr>
          <w:rFonts w:hint="eastAsia" w:ascii="仿宋_GB2312" w:hAnsi="仿宋_GB2312" w:eastAsia="仿宋_GB2312" w:cs="仿宋_GB2312"/>
          <w:sz w:val="32"/>
          <w:szCs w:val="32"/>
        </w:rPr>
        <w:t>一是严格审核原始单据，要求发票合法合规，相关资料真实完整，不符合要求的不予报账。二是严格审核经费来源，根据部门预算安排和资金使用进度，核实每笔报账申请的经费来源，无预算经费来源的支出不予报账。三是严格审核各项制度执行情况，没有按规定及程序审批的不予报账，超出预算限额的不予报账。</w:t>
      </w:r>
    </w:p>
    <w:p w14:paraId="12F6D375">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3.加强财务管理，规范财务开支。</w:t>
      </w:r>
      <w:r>
        <w:rPr>
          <w:rFonts w:hint="eastAsia" w:ascii="仿宋_GB2312" w:hAnsi="仿宋_GB2312" w:eastAsia="仿宋_GB2312" w:cs="仿宋_GB2312"/>
          <w:sz w:val="32"/>
          <w:szCs w:val="32"/>
        </w:rPr>
        <w:t>按照市财政局要求对部门预算、决算、绩效、三公经费等相关信息进行公示，根据经费支出情况，我局办公室定期进行经费支出财务统计和分析，定期向分管领导进行汇报，对经费支出的管理状况提出财务建议。</w:t>
      </w:r>
    </w:p>
    <w:p w14:paraId="5B874DE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履职效能评价</w:t>
      </w:r>
    </w:p>
    <w:p w14:paraId="78D283C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黑体" w:cs="Times New Roman"/>
          <w:b w:val="0"/>
          <w:i w:val="0"/>
          <w:caps w:val="0"/>
          <w:color w:val="auto"/>
          <w:spacing w:val="0"/>
          <w:w w:val="100"/>
          <w:kern w:val="0"/>
          <w:sz w:val="32"/>
          <w:szCs w:val="32"/>
          <w:lang w:val="en-US" w:eastAsia="zh-CN"/>
        </w:rPr>
      </w:pPr>
      <w:r>
        <w:rPr>
          <w:rFonts w:hint="eastAsia" w:eastAsia="仿宋_GB2312" w:cs="Times New Roman"/>
          <w:b w:val="0"/>
          <w:bCs w:val="0"/>
          <w:i w:val="0"/>
          <w:caps w:val="0"/>
          <w:color w:val="auto"/>
          <w:spacing w:val="0"/>
          <w:w w:val="100"/>
          <w:sz w:val="32"/>
          <w:szCs w:val="32"/>
          <w:lang w:val="en-US" w:eastAsia="zh-CN"/>
        </w:rPr>
        <w:t>2023年是极不平凡、充满挑战的一年。一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p>
    <w:p w14:paraId="06D931A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b w:val="0"/>
          <w:bCs w:val="0"/>
          <w:i w:val="0"/>
          <w:caps w:val="0"/>
          <w:color w:val="auto"/>
          <w:spacing w:val="0"/>
          <w:w w:val="100"/>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1.工业经济回升向好。</w:t>
      </w:r>
      <w:r>
        <w:rPr>
          <w:rFonts w:hint="eastAsia" w:ascii="Times New Roman" w:hAnsi="Times New Roman" w:eastAsia="仿宋_GB2312" w:cs="Times New Roman"/>
          <w:b w:val="0"/>
          <w:bCs w:val="0"/>
          <w:i w:val="0"/>
          <w:caps w:val="0"/>
          <w:color w:val="auto"/>
          <w:spacing w:val="0"/>
          <w:w w:val="100"/>
          <w:sz w:val="32"/>
          <w:szCs w:val="32"/>
          <w:lang w:val="en-US" w:eastAsia="zh-CN"/>
        </w:rPr>
        <w:t>扛牢工业“压舱石”的使命担当，强化工业经济运行监测调度，持续深化联企帮扶，提振企业发展信心，工业经济呈现企稳回升、稳中向好、稳中有进的良好态势。全年规模以上工业增加值增长2.5%；新增规模以上工业企业156家，排同类市州第1位</w:t>
      </w:r>
      <w:r>
        <w:rPr>
          <w:rFonts w:hint="eastAsia" w:ascii="Times New Roman" w:hAnsi="Times New Roman" w:eastAsia="仿宋_GB2312" w:cs="Times New Roman"/>
          <w:sz w:val="32"/>
          <w:szCs w:val="32"/>
          <w:lang w:val="en-US" w:eastAsia="zh-CN"/>
        </w:rPr>
        <w:t>。</w:t>
      </w:r>
    </w:p>
    <w:p w14:paraId="5D687033">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default"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2.企业培育迸发新活力。</w:t>
      </w:r>
      <w:r>
        <w:rPr>
          <w:rFonts w:hint="eastAsia" w:ascii="Times New Roman" w:hAnsi="Times New Roman" w:eastAsia="仿宋_GB2312" w:cs="Times New Roman"/>
          <w:sz w:val="32"/>
          <w:szCs w:val="32"/>
          <w:lang w:val="en-US" w:eastAsia="zh-CN"/>
        </w:rPr>
        <w:t>常态长效开展“三送三解三优”行动，精耕营商环境“土壤”，精挑优质培育“种子”，精锻特色产业链“枝干”，梯度培育优质企业。加强财政、金融政策联动，全市</w:t>
      </w:r>
      <w:r>
        <w:rPr>
          <w:rFonts w:hint="default" w:ascii="Times New Roman" w:hAnsi="Times New Roman" w:eastAsia="仿宋_GB2312" w:cs="Times New Roman"/>
          <w:sz w:val="32"/>
          <w:szCs w:val="32"/>
          <w:lang w:val="en-US" w:eastAsia="zh-CN"/>
        </w:rPr>
        <w:t>财政</w:t>
      </w:r>
      <w:r>
        <w:rPr>
          <w:rFonts w:hint="eastAsia" w:ascii="Times New Roman" w:hAnsi="Times New Roman" w:eastAsia="仿宋_GB2312" w:cs="Times New Roman"/>
          <w:sz w:val="32"/>
          <w:szCs w:val="32"/>
          <w:lang w:val="en-US" w:eastAsia="zh-CN"/>
        </w:rPr>
        <w:t>兑现</w:t>
      </w:r>
      <w:r>
        <w:rPr>
          <w:rFonts w:hint="default" w:ascii="Times New Roman" w:hAnsi="Times New Roman" w:eastAsia="仿宋_GB2312" w:cs="Times New Roman"/>
          <w:sz w:val="32"/>
          <w:szCs w:val="32"/>
          <w:lang w:val="en-US" w:eastAsia="zh-CN"/>
        </w:rPr>
        <w:t>支持</w:t>
      </w:r>
      <w:r>
        <w:rPr>
          <w:rFonts w:hint="eastAsia" w:ascii="Times New Roman" w:hAnsi="Times New Roman" w:eastAsia="仿宋_GB2312" w:cs="Times New Roman"/>
          <w:sz w:val="32"/>
          <w:szCs w:val="32"/>
          <w:lang w:val="en-US" w:eastAsia="zh-CN"/>
        </w:rPr>
        <w:t>上</w:t>
      </w:r>
      <w:r>
        <w:rPr>
          <w:rFonts w:hint="default" w:ascii="Times New Roman" w:hAnsi="Times New Roman" w:eastAsia="仿宋_GB2312" w:cs="Times New Roman"/>
          <w:sz w:val="32"/>
          <w:szCs w:val="32"/>
          <w:lang w:val="en-US" w:eastAsia="zh-CN"/>
        </w:rPr>
        <w:t>年度新增专精特新“小巨人”企业奖金1047.5万元</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规模工业企业奖金403.27万元</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依托“湘企融”平台新增中小企业商业价值信用贷款244.47亿元</w:t>
      </w:r>
      <w:r>
        <w:rPr>
          <w:rFonts w:hint="eastAsia" w:ascii="Times New Roman" w:hAnsi="Times New Roman" w:eastAsia="仿宋_GB2312" w:cs="Times New Roman"/>
          <w:sz w:val="32"/>
          <w:szCs w:val="32"/>
          <w:lang w:val="en-US" w:eastAsia="zh-CN"/>
        </w:rPr>
        <w:t>。帮助150家企业获得省级以上各类专项资金9059.36万元，累计清理拖欠民营企业中小企业账款7514.23万元</w:t>
      </w:r>
      <w:r>
        <w:rPr>
          <w:rFonts w:hint="eastAsia" w:eastAsia="仿宋_GB2312" w:cs="Times New Roman"/>
          <w:sz w:val="32"/>
          <w:szCs w:val="32"/>
          <w:lang w:val="en-US" w:eastAsia="zh-CN"/>
        </w:rPr>
        <w:t>，清偿率、问题线索化解率居全省前列。</w:t>
      </w:r>
      <w:r>
        <w:rPr>
          <w:rFonts w:hint="eastAsia" w:ascii="Times New Roman" w:hAnsi="Times New Roman" w:eastAsia="仿宋_GB2312" w:cs="Times New Roman"/>
          <w:sz w:val="32"/>
          <w:szCs w:val="32"/>
          <w:u w:val="none"/>
          <w:lang w:val="en-US" w:eastAsia="zh-CN"/>
        </w:rPr>
        <w:t>着力培育骨干龙头企业，</w:t>
      </w:r>
      <w:r>
        <w:rPr>
          <w:rFonts w:hint="eastAsia" w:ascii="Times New Roman" w:hAnsi="Times New Roman" w:eastAsia="仿宋_GB2312" w:cs="Times New Roman"/>
          <w:sz w:val="32"/>
          <w:szCs w:val="32"/>
          <w:lang w:val="en-US" w:eastAsia="zh-CN"/>
        </w:rPr>
        <w:t>零陵卷烟厂、国网永州供电公司年产值达50亿元以上。优质企业群体壮大，全市新增国家专精特新“小巨人”企业3家、省级专精特新中小企业105家、创新型中小企业294家、省级制造业单项冠军6家，</w:t>
      </w:r>
      <w:r>
        <w:rPr>
          <w:rFonts w:hint="eastAsia" w:ascii="Times New Roman" w:hAnsi="Times New Roman" w:eastAsia="仿宋_GB2312" w:cs="Times New Roman"/>
          <w:sz w:val="32"/>
          <w:szCs w:val="32"/>
          <w:u w:val="none"/>
          <w:lang w:val="en-US" w:eastAsia="zh-CN"/>
        </w:rPr>
        <w:t>创历史新高。推动高端化、绿色化发展，认定</w:t>
      </w:r>
      <w:r>
        <w:rPr>
          <w:rFonts w:hint="eastAsia" w:ascii="Times New Roman" w:hAnsi="Times New Roman" w:eastAsia="仿宋_GB2312" w:cs="Times New Roman"/>
          <w:sz w:val="32"/>
          <w:szCs w:val="32"/>
          <w:lang w:val="en-US" w:eastAsia="zh-CN"/>
        </w:rPr>
        <w:t>省级“三品”标杆企业3家，</w:t>
      </w:r>
      <w:r>
        <w:rPr>
          <w:rFonts w:hint="eastAsia" w:ascii="Times New Roman" w:hAnsi="Times New Roman" w:eastAsia="仿宋_GB2312" w:cs="Times New Roman"/>
          <w:sz w:val="32"/>
          <w:szCs w:val="32"/>
          <w:u w:val="none"/>
          <w:lang w:val="en-US" w:eastAsia="zh-CN"/>
        </w:rPr>
        <w:t>新获评省级企业技术中心24家、省工业设计中心2家，</w:t>
      </w:r>
      <w:r>
        <w:rPr>
          <w:rFonts w:hint="eastAsia" w:ascii="Times New Roman" w:hAnsi="Times New Roman" w:eastAsia="仿宋_GB2312" w:cs="Times New Roman"/>
          <w:sz w:val="32"/>
          <w:szCs w:val="32"/>
          <w:lang w:val="en-US" w:eastAsia="zh-CN"/>
        </w:rPr>
        <w:t>新增国家绿色工厂2家、省级绿色工厂6家。</w:t>
      </w:r>
    </w:p>
    <w:p w14:paraId="11444311">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auto"/>
          <w:spacing w:val="0"/>
          <w:w w:val="100"/>
          <w:kern w:val="0"/>
          <w:sz w:val="32"/>
          <w:szCs w:val="32"/>
          <w:lang w:val="en-US" w:eastAsia="zh-CN"/>
        </w:rPr>
        <w:t>3</w:t>
      </w:r>
      <w:r>
        <w:rPr>
          <w:rFonts w:hint="eastAsia" w:ascii="Times New Roman" w:hAnsi="Times New Roman" w:eastAsia="楷体_GB2312" w:cs="Times New Roman"/>
          <w:b/>
          <w:bCs/>
          <w:i w:val="0"/>
          <w:caps w:val="0"/>
          <w:color w:val="000000"/>
          <w:spacing w:val="0"/>
          <w:w w:val="100"/>
          <w:kern w:val="0"/>
          <w:sz w:val="32"/>
          <w:szCs w:val="32"/>
          <w:lang w:val="en-US" w:eastAsia="zh-CN"/>
        </w:rPr>
        <w:t>.产业项目积蓄新</w:t>
      </w:r>
      <w:r>
        <w:rPr>
          <w:rFonts w:hint="eastAsia" w:ascii="Times New Roman" w:hAnsi="Times New Roman" w:eastAsia="楷体_GB2312" w:cs="Times New Roman"/>
          <w:b/>
          <w:bCs/>
          <w:i w:val="0"/>
          <w:caps w:val="0"/>
          <w:color w:val="auto"/>
          <w:spacing w:val="0"/>
          <w:w w:val="100"/>
          <w:kern w:val="0"/>
          <w:sz w:val="32"/>
          <w:szCs w:val="32"/>
          <w:lang w:val="en-US" w:eastAsia="zh-CN"/>
        </w:rPr>
        <w:t>动能。</w:t>
      </w:r>
      <w:r>
        <w:rPr>
          <w:rFonts w:hint="eastAsia" w:ascii="Times New Roman" w:hAnsi="Times New Roman" w:eastAsia="仿宋_GB2312" w:cs="Times New Roman"/>
          <w:sz w:val="32"/>
          <w:szCs w:val="32"/>
          <w:lang w:val="en-US" w:eastAsia="zh-CN"/>
        </w:rPr>
        <w:t>坚持将产业建设作为高质量发展的</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主引擎</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来抓，推动产业发展“千百十”工程迈上新台阶，持续增强产业发展整体实力和核心竞争力。列入省级产业发展“万千百”重点项目5个，累计完成投资76.66亿元。储能项目新建运营7个、在建3个。全市工业固定资产投资增长率为22.3%，排全省第2位。新引进投资5000万元以上项目387个，总投资1031.65亿元。十大产业项目完成投资110.96亿元。首个与央企共建的项目湖南稀土新材料产业园、科力尔智能制造产业园项目开工。运达风电机组实现整机永州造。鲁丽绿色新材料科技产业园、东安特种制造基地一期建成并已试投产。紫金锂业锂矿采选和精深加工项目试采选。零陵卷烟厂“卷包及动力车间就地技术改造项目”获国家烟草专卖局批复。产业千百十工作经验做法获省工信厅专刊推介。</w:t>
      </w:r>
    </w:p>
    <w:p w14:paraId="36C1E65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auto"/>
          <w:spacing w:val="0"/>
          <w:w w:val="100"/>
          <w:kern w:val="0"/>
          <w:sz w:val="32"/>
          <w:szCs w:val="32"/>
          <w:lang w:val="en-US" w:eastAsia="zh-CN"/>
        </w:rPr>
        <w:t>4.产业集群构筑新优势。</w:t>
      </w:r>
      <w:r>
        <w:rPr>
          <w:rFonts w:hint="eastAsia" w:ascii="Times New Roman" w:hAnsi="Times New Roman" w:eastAsia="仿宋_GB2312" w:cs="Times New Roman"/>
          <w:sz w:val="32"/>
          <w:szCs w:val="32"/>
          <w:lang w:val="en-US" w:eastAsia="zh-CN"/>
        </w:rPr>
        <w:t>以制造业产业集群高质量发展为抓手，锚定园区“主特”产业布局持续发力，组织开展省级产业集群竞赛模拟答辩，构建产业集群培育梯度发展体系。推进产业链精准招商，相继举办三届永州·蓝山国际皮具箱包博览会和永州制造业品牌推介暨产业链供应链对接会</w:t>
      </w:r>
      <w:r>
        <w:rPr>
          <w:rFonts w:hint="eastAsia"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新培育5个省级产业集群及培育对象，总数排全省第2位，形成了产业名片。其中，祁阳轻纺制鞋-纺织、蓝山县轻工轻纺－皮具玩具和江华县智能小家电电机产业集群新晋为省级产业集群；永州特优中药材植物提取、宁远县锂电材料产业集群新入选省级产业集群培育对象。东安县吉他、双牌县竹木加工、</w:t>
      </w:r>
      <w:r>
        <w:rPr>
          <w:rFonts w:hint="eastAsia" w:ascii="仿宋_GB2312" w:hAnsi="Times New Roman" w:eastAsia="仿宋_GB2312" w:cs="Times New Roman"/>
          <w:color w:val="000000"/>
          <w:sz w:val="32"/>
          <w:szCs w:val="32"/>
          <w:lang w:eastAsia="zh-CN"/>
        </w:rPr>
        <w:t>永州经开区磁性电子元器件</w:t>
      </w:r>
      <w:r>
        <w:rPr>
          <w:rFonts w:hint="eastAsia" w:ascii="Times New Roman" w:hAnsi="Times New Roman" w:eastAsia="仿宋_GB2312" w:cs="Times New Roman"/>
          <w:sz w:val="32"/>
          <w:szCs w:val="32"/>
          <w:lang w:val="en-US" w:eastAsia="zh-CN"/>
        </w:rPr>
        <w:t>等区域特色产业发展来势向好，形成了一定规模。</w:t>
      </w:r>
    </w:p>
    <w:p w14:paraId="7D039C4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5.园区建设提升新质效。</w:t>
      </w:r>
      <w:r>
        <w:rPr>
          <w:rFonts w:hint="eastAsia" w:ascii="Times New Roman" w:hAnsi="Times New Roman" w:eastAsia="仿宋_GB2312" w:cs="Times New Roman"/>
          <w:sz w:val="32"/>
          <w:szCs w:val="32"/>
          <w:lang w:val="en-US" w:eastAsia="zh-CN"/>
        </w:rPr>
        <w:t>高质量推进“五好”园区创建，全市园区规模以上工业增加值增长9.2%，</w:t>
      </w:r>
      <w:r>
        <w:rPr>
          <w:rFonts w:hint="eastAsia" w:ascii="Times New Roman" w:hAnsi="Times New Roman" w:eastAsia="仿宋_GB2312" w:cs="Times New Roman"/>
          <w:sz w:val="32"/>
          <w:szCs w:val="32"/>
          <w:u w:val="none"/>
          <w:lang w:val="en-US" w:eastAsia="zh-CN"/>
        </w:rPr>
        <w:t>园区规工企业实缴税收增长16.77%、亩均税收均增长8.5%（预计）。</w:t>
      </w:r>
      <w:r>
        <w:rPr>
          <w:rFonts w:hint="eastAsia" w:ascii="Times New Roman" w:hAnsi="Times New Roman" w:eastAsia="仿宋_GB2312" w:cs="Times New Roman"/>
          <w:b/>
          <w:bCs/>
          <w:sz w:val="32"/>
          <w:szCs w:val="32"/>
          <w:u w:val="none"/>
          <w:lang w:val="en-US" w:eastAsia="zh-CN"/>
        </w:rPr>
        <w:t>一</w:t>
      </w:r>
      <w:r>
        <w:rPr>
          <w:rFonts w:hint="eastAsia" w:ascii="Times New Roman" w:hAnsi="Times New Roman" w:eastAsia="仿宋_GB2312" w:cs="Times New Roman"/>
          <w:b/>
          <w:bCs/>
          <w:sz w:val="32"/>
          <w:szCs w:val="32"/>
          <w:lang w:val="en-US" w:eastAsia="zh-CN"/>
        </w:rPr>
        <w:t>是持续推进园区体制机制创新。</w:t>
      </w:r>
      <w:r>
        <w:rPr>
          <w:rFonts w:hint="eastAsia" w:ascii="Times New Roman" w:hAnsi="Times New Roman" w:eastAsia="仿宋_GB2312" w:cs="Times New Roman"/>
          <w:sz w:val="32"/>
          <w:szCs w:val="32"/>
          <w:lang w:val="en-US" w:eastAsia="zh-CN"/>
        </w:rPr>
        <w:t>一年召开两次高规格创建“五好”园区现场推进会，进一步传导压力、激发动力，营造竞相发展、比学赶超的浓厚氛围。推行“2+1+2”（书记、县长+第一书记+园区书记、主任）管理模式，扩大园区发展自主权，引导发展要素向园区倾斜。</w:t>
      </w:r>
      <w:r>
        <w:rPr>
          <w:rFonts w:hint="eastAsia" w:ascii="Times New Roman" w:hAnsi="Times New Roman" w:eastAsia="仿宋_GB2312" w:cs="Times New Roman"/>
          <w:b/>
          <w:bCs/>
          <w:sz w:val="32"/>
          <w:szCs w:val="32"/>
          <w:lang w:val="en-US" w:eastAsia="zh-CN"/>
        </w:rPr>
        <w:t>二是</w:t>
      </w:r>
      <w:r>
        <w:rPr>
          <w:rFonts w:hint="eastAsia" w:ascii="Times New Roman" w:hAnsi="Times New Roman" w:eastAsia="仿宋_GB2312"/>
          <w:b/>
          <w:bCs/>
          <w:sz w:val="32"/>
          <w:szCs w:val="32"/>
          <w:u w:val="none"/>
          <w:lang w:val="en-US" w:eastAsia="zh-CN"/>
        </w:rPr>
        <w:t>优化</w:t>
      </w:r>
      <w:r>
        <w:rPr>
          <w:rFonts w:hint="eastAsia" w:ascii="Times New Roman" w:hAnsi="Times New Roman" w:eastAsia="仿宋_GB2312"/>
          <w:b/>
          <w:bCs/>
          <w:sz w:val="32"/>
          <w:szCs w:val="32"/>
          <w:lang w:val="en-US" w:eastAsia="zh-CN"/>
        </w:rPr>
        <w:t>“主特”产业</w:t>
      </w:r>
      <w:r>
        <w:rPr>
          <w:rFonts w:hint="eastAsia" w:ascii="Times New Roman" w:hAnsi="Times New Roman" w:eastAsia="仿宋_GB2312"/>
          <w:b/>
          <w:bCs/>
          <w:sz w:val="32"/>
          <w:szCs w:val="32"/>
          <w:u w:val="none"/>
          <w:lang w:val="en-US" w:eastAsia="zh-CN"/>
        </w:rPr>
        <w:t>定位</w:t>
      </w:r>
      <w:r>
        <w:rPr>
          <w:rFonts w:hint="eastAsia" w:eastAsia="仿宋_GB2312"/>
          <w:b/>
          <w:bCs/>
          <w:sz w:val="32"/>
          <w:szCs w:val="32"/>
          <w:u w:val="none"/>
          <w:lang w:val="en-US" w:eastAsia="zh-CN"/>
        </w:rPr>
        <w:t>。</w:t>
      </w:r>
      <w:r>
        <w:rPr>
          <w:rFonts w:hint="eastAsia" w:ascii="Times New Roman" w:hAnsi="Times New Roman" w:eastAsia="仿宋_GB2312" w:cs="Times New Roman"/>
          <w:sz w:val="32"/>
          <w:szCs w:val="32"/>
          <w:lang w:val="en-US" w:eastAsia="zh-CN"/>
        </w:rPr>
        <w:t>注重系统谋划强化统筹，</w:t>
      </w:r>
      <w:r>
        <w:rPr>
          <w:rFonts w:hint="eastAsia" w:eastAsia="仿宋_GB2312"/>
          <w:sz w:val="32"/>
          <w:szCs w:val="32"/>
          <w:u w:val="none"/>
          <w:lang w:val="en-US" w:eastAsia="zh-CN"/>
        </w:rPr>
        <w:t>引导园区</w:t>
      </w:r>
      <w:r>
        <w:rPr>
          <w:rFonts w:hint="eastAsia" w:ascii="Times New Roman" w:hAnsi="Times New Roman" w:eastAsia="仿宋_GB2312" w:cs="Times New Roman"/>
          <w:sz w:val="32"/>
          <w:szCs w:val="32"/>
          <w:lang w:val="en-US" w:eastAsia="zh-CN"/>
        </w:rPr>
        <w:t>结合产业基础，选准细分领域，</w:t>
      </w:r>
      <w:r>
        <w:rPr>
          <w:rFonts w:hint="eastAsia" w:eastAsia="仿宋_GB2312"/>
          <w:sz w:val="32"/>
          <w:szCs w:val="32"/>
          <w:u w:val="none"/>
          <w:lang w:val="en-US" w:eastAsia="zh-CN"/>
        </w:rPr>
        <w:t>差异化、特色化发展。</w:t>
      </w:r>
      <w:r>
        <w:rPr>
          <w:rFonts w:hint="eastAsia" w:ascii="Times New Roman" w:hAnsi="Times New Roman" w:eastAsia="仿宋_GB2312" w:cs="Times New Roman"/>
          <w:b/>
          <w:bCs/>
          <w:sz w:val="32"/>
          <w:szCs w:val="32"/>
          <w:lang w:val="en-US" w:eastAsia="zh-CN"/>
        </w:rPr>
        <w:t>三是着力提升质效。</w:t>
      </w:r>
      <w:r>
        <w:rPr>
          <w:rFonts w:hint="eastAsia" w:ascii="Times New Roman" w:hAnsi="Times New Roman" w:eastAsia="仿宋_GB2312" w:cs="Times New Roman"/>
          <w:sz w:val="32"/>
          <w:szCs w:val="32"/>
          <w:lang w:val="en-US" w:eastAsia="zh-CN"/>
        </w:rPr>
        <w:t>倡导“亩均税收”改革，大力开展“三类”用地清理及国有闲置标准厂房处置。通过分类施策“腾笼换鸟”，引进百信锰业、振阳纺织盘活了闲置资产。永州经开区、冷水滩高科园、蓝山经开区、新田产业开发区4个园区规工企业实缴税收增幅均超50%，实现“增资增效不增地”。祁阳高新区“‘五好’园区”和“促进工业高质量发展”2项工作获省政府真抓实干督查激励。江华高新区《偏远山区的“五好”园区涅槃之路》典型经验，得到毛伟明省长的肯定批示并在全省推介。</w:t>
      </w:r>
    </w:p>
    <w:p w14:paraId="27419248">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6.数实融合取得新进展。</w:t>
      </w:r>
      <w:r>
        <w:rPr>
          <w:rFonts w:hint="eastAsia"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lang w:val="en-US" w:eastAsia="zh-CN"/>
        </w:rPr>
        <w:t>把</w:t>
      </w:r>
      <w:r>
        <w:rPr>
          <w:rFonts w:hint="eastAsia" w:ascii="Times New Roman" w:hAnsi="Times New Roman" w:eastAsia="仿宋_GB2312" w:cs="Times New Roman"/>
          <w:sz w:val="32"/>
          <w:szCs w:val="32"/>
          <w:lang w:val="en-US" w:eastAsia="zh-CN"/>
        </w:rPr>
        <w:t>纵深推进</w:t>
      </w:r>
      <w:r>
        <w:rPr>
          <w:rFonts w:hint="default" w:ascii="Times New Roman" w:hAnsi="Times New Roman" w:eastAsia="仿宋_GB2312" w:cs="Times New Roman"/>
          <w:sz w:val="32"/>
          <w:szCs w:val="32"/>
          <w:lang w:val="en-US" w:eastAsia="zh-CN"/>
        </w:rPr>
        <w:t>“智赋万企”行动作为推动企业数字化转型的主抓手，</w:t>
      </w:r>
      <w:r>
        <w:rPr>
          <w:rFonts w:hint="eastAsia" w:ascii="Times New Roman" w:hAnsi="Times New Roman" w:eastAsia="仿宋_GB2312" w:cs="Times New Roman"/>
          <w:sz w:val="32"/>
          <w:szCs w:val="32"/>
          <w:lang w:val="en-US" w:eastAsia="zh-CN"/>
        </w:rPr>
        <w:t>组建工作专班，落实“三进”要求，协同推进“智赋万企”见行见效。金箭新材料入选国家级智能制造优秀场景，新认定省智能制造标杆车间2个、省级工业互联网平台1个，入选省“数字新基建”100个标志性项目1个。上云上平台加速推</w:t>
      </w:r>
      <w:r>
        <w:rPr>
          <w:rFonts w:hint="eastAsia" w:ascii="Times New Roman" w:hAnsi="Times New Roman" w:eastAsia="仿宋_GB2312" w:cs="Times New Roman"/>
          <w:color w:val="000000"/>
          <w:sz w:val="32"/>
          <w:szCs w:val="32"/>
          <w:lang w:val="en-US" w:eastAsia="zh-CN"/>
        </w:rPr>
        <w:t>进，推动9064家企业“上云”、1171家企业“上平台”，新增省“上云上平台”标杆企业3家、两化融合管理体系贯标获证企业10家。力促企业投入智能制造改造资金4亿余元，打造智能制造企业46家、智能制造产线（车间）71条、智能工位458个。已向国家申报“千兆城市”，累计建成5G基站6458个，每万人拥有5G基站数14.9个。</w:t>
      </w:r>
    </w:p>
    <w:p w14:paraId="620EE215">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年来，全市工信系统围绕中心，服务大局，各项工作均取得新成效。我们坚持以党的政治建设为统领，以党的二十大精神为引领，切实把党建成效转化为推动工信各项工作的强大动力。扎实推进党风廉政建设，选举成立机关纪委，清廉工信扎实推进。落实意识形态工作责任制，政务信息工作保持在市直单位第一方阵。加强法治政府建设，配合开展《湖南省先进制造业促进条例》执法检查，开展各项政策法规宣传活动10余场。圆满完成重大活动、重要考试无线电安全、电力和通信保障，查处无线电干扰3起。《为奋力打造先进制造业高地提供坚强人才支撑》获评全国人才工作创新优秀案例，工业经济运行监测协调工作获评全省先进单位。全力做好安全生产、信访维稳、保密、网络安全、军民融合、国防动员等工作，全年全市工信领域没有发生重大安全生产事故。“一户一表”改造、乡村振兴、建议提案办理、工青妇、离退休等各项工作都取得了新的成绩。各县市区和各有关单位围绕稳增长、强产业、育企业、建项目、优服务等开展了大量卓有成效的工作，为全市工业和信息化高质量发展作出了重要贡献。</w:t>
      </w:r>
    </w:p>
    <w:p w14:paraId="1581893D">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存在的问题及原因分析</w:t>
      </w:r>
    </w:p>
    <w:p w14:paraId="4FAE2618">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年初实施预算编制时，未将上级拨付资金未列入年初部门预算范畴，剔除政策性追加的人员经费外，其余市本级资金也采取年中调整预算的方式增拨经费，</w:t>
      </w:r>
      <w:r>
        <w:rPr>
          <w:rFonts w:hint="eastAsia" w:ascii="仿宋_GB2312" w:hAnsi="仿宋_GB2312" w:eastAsia="仿宋_GB2312" w:cs="仿宋_GB2312"/>
          <w:sz w:val="32"/>
          <w:szCs w:val="32"/>
          <w:lang w:val="en-US" w:eastAsia="zh-CN"/>
        </w:rPr>
        <w:t>从</w:t>
      </w:r>
      <w:r>
        <w:rPr>
          <w:rFonts w:hint="eastAsia" w:ascii="仿宋_GB2312" w:hAnsi="仿宋_GB2312" w:eastAsia="仿宋_GB2312" w:cs="仿宋_GB2312"/>
          <w:sz w:val="32"/>
          <w:szCs w:val="32"/>
        </w:rPr>
        <w:t>而导致预决算</w:t>
      </w:r>
      <w:r>
        <w:rPr>
          <w:rFonts w:hint="eastAsia" w:ascii="仿宋_GB2312" w:hAnsi="仿宋_GB2312" w:eastAsia="仿宋_GB2312" w:cs="仿宋_GB2312"/>
          <w:sz w:val="32"/>
          <w:szCs w:val="32"/>
          <w:lang w:val="en-US" w:eastAsia="zh-CN"/>
        </w:rPr>
        <w:t>有所</w:t>
      </w:r>
      <w:r>
        <w:rPr>
          <w:rFonts w:hint="eastAsia" w:ascii="仿宋_GB2312" w:hAnsi="仿宋_GB2312" w:eastAsia="仿宋_GB2312" w:cs="仿宋_GB2312"/>
          <w:sz w:val="32"/>
          <w:szCs w:val="32"/>
        </w:rPr>
        <w:t>差异。</w:t>
      </w:r>
    </w:p>
    <w:p w14:paraId="6AE0FD8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八、下一步改进措施</w:t>
      </w:r>
    </w:p>
    <w:p w14:paraId="2B8A1975">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进一步加强预算管理意识，严格按照预算编制的相关制度和要求，</w:t>
      </w:r>
      <w:r>
        <w:rPr>
          <w:rFonts w:hint="eastAsia" w:ascii="仿宋_GB2312" w:hAnsi="仿宋_GB2312" w:eastAsia="仿宋_GB2312" w:cs="仿宋_GB2312"/>
          <w:sz w:val="32"/>
          <w:szCs w:val="32"/>
          <w:lang w:val="en-US" w:eastAsia="zh-CN"/>
        </w:rPr>
        <w:t>围绕</w:t>
      </w:r>
      <w:r>
        <w:rPr>
          <w:rFonts w:hint="eastAsia" w:ascii="仿宋_GB2312" w:hAnsi="仿宋_GB2312" w:eastAsia="仿宋_GB2312" w:cs="仿宋_GB2312"/>
          <w:sz w:val="32"/>
          <w:szCs w:val="32"/>
        </w:rPr>
        <w:t>单位年度重点工作和项目专项工作规划，本着“勤俭节约、保障运转”的原则进行预算编制。</w:t>
      </w:r>
    </w:p>
    <w:p w14:paraId="2D8F08C9">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九、部门整体支出绩效自评结果拟应用和公开情况</w:t>
      </w:r>
    </w:p>
    <w:p w14:paraId="463B3231">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每年的部门预、决算，经市人大、市财政局按规定批复后，均按要求在市财政网向社会进行了主动公开。</w:t>
      </w:r>
    </w:p>
    <w:p w14:paraId="192FEAB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十、其他需要说明的情况</w:t>
      </w:r>
    </w:p>
    <w:p w14:paraId="775F7FE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cs="黑体" w:asciiTheme="minorEastAsia" w:hAnsiTheme="minorEastAsia"/>
          <w:color w:val="000000"/>
          <w:kern w:val="0"/>
          <w:sz w:val="32"/>
          <w:szCs w:val="32"/>
        </w:rPr>
      </w:pPr>
      <w:r>
        <w:rPr>
          <w:rFonts w:hint="eastAsia" w:ascii="仿宋_GB2312" w:hAnsi="仿宋_GB2312" w:eastAsia="仿宋_GB2312" w:cs="仿宋_GB2312"/>
          <w:sz w:val="32"/>
          <w:szCs w:val="32"/>
          <w:lang w:val="en-US" w:eastAsia="zh-CN"/>
        </w:rPr>
        <w:t>无。</w:t>
      </w:r>
    </w:p>
    <w:sectPr>
      <w:pgSz w:w="11906" w:h="16838"/>
      <w:pgMar w:top="1701" w:right="1417" w:bottom="1417" w:left="1701"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09E23">
    <w:pPr>
      <w:pStyle w:val="7"/>
      <w:ind w:right="360" w:firstLine="360"/>
      <w:rPr>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D355E">
    <w:pPr>
      <w:pStyle w:val="7"/>
      <w:ind w:right="360" w:firstLine="360"/>
      <w:rPr>
        <w:szCs w:val="2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7D5EA2">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87D5EA2">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CF1800"/>
    <w:multiLevelType w:val="singleLevel"/>
    <w:tmpl w:val="A9CF1800"/>
    <w:lvl w:ilvl="0" w:tentative="0">
      <w:start w:val="3"/>
      <w:numFmt w:val="chineseCounting"/>
      <w:suff w:val="nothing"/>
      <w:lvlText w:val="（%1）"/>
      <w:lvlJc w:val="left"/>
      <w:rPr>
        <w:rFonts w:hint="eastAsia"/>
      </w:rPr>
    </w:lvl>
  </w:abstractNum>
  <w:abstractNum w:abstractNumId="1">
    <w:nsid w:val="AF13D6E4"/>
    <w:multiLevelType w:val="singleLevel"/>
    <w:tmpl w:val="AF13D6E4"/>
    <w:lvl w:ilvl="0" w:tentative="0">
      <w:start w:val="7"/>
      <w:numFmt w:val="chineseCounting"/>
      <w:suff w:val="nothing"/>
      <w:lvlText w:val="%1、"/>
      <w:lvlJc w:val="left"/>
      <w:rPr>
        <w:rFonts w:hint="eastAsia"/>
      </w:rPr>
    </w:lvl>
  </w:abstractNum>
  <w:abstractNum w:abstractNumId="2">
    <w:nsid w:val="E747BD8E"/>
    <w:multiLevelType w:val="singleLevel"/>
    <w:tmpl w:val="E747BD8E"/>
    <w:lvl w:ilvl="0" w:tentative="0">
      <w:start w:val="3"/>
      <w:numFmt w:val="decimal"/>
      <w:suff w:val="nothing"/>
      <w:lvlText w:val="%1、"/>
      <w:lvlJc w:val="left"/>
    </w:lvl>
  </w:abstractNum>
  <w:abstractNum w:abstractNumId="3">
    <w:nsid w:val="F56DB9B1"/>
    <w:multiLevelType w:val="singleLevel"/>
    <w:tmpl w:val="F56DB9B1"/>
    <w:lvl w:ilvl="0" w:tentative="0">
      <w:start w:val="3"/>
      <w:numFmt w:val="chineseCounting"/>
      <w:suff w:val="nothing"/>
      <w:lvlText w:val="%1、"/>
      <w:lvlJc w:val="left"/>
      <w:rPr>
        <w:rFonts w:hint="eastAsia"/>
      </w:rPr>
    </w:lvl>
  </w:abstractNum>
  <w:abstractNum w:abstractNumId="4">
    <w:nsid w:val="0B6DE1E8"/>
    <w:multiLevelType w:val="singleLevel"/>
    <w:tmpl w:val="0B6DE1E8"/>
    <w:lvl w:ilvl="0" w:tentative="0">
      <w:start w:val="9"/>
      <w:numFmt w:val="decimal"/>
      <w:suff w:val="nothing"/>
      <w:lvlText w:val="（%1）"/>
      <w:lvlJc w:val="left"/>
    </w:lvl>
  </w:abstractNum>
  <w:abstractNum w:abstractNumId="5">
    <w:nsid w:val="302B4F52"/>
    <w:multiLevelType w:val="singleLevel"/>
    <w:tmpl w:val="302B4F52"/>
    <w:lvl w:ilvl="0" w:tentative="0">
      <w:start w:val="5"/>
      <w:numFmt w:val="decimal"/>
      <w:suff w:val="nothing"/>
      <w:lvlText w:val="（%1）"/>
      <w:lvlJc w:val="left"/>
    </w:lvl>
  </w:abstractNum>
  <w:abstractNum w:abstractNumId="6">
    <w:nsid w:val="373518C1"/>
    <w:multiLevelType w:val="multilevel"/>
    <w:tmpl w:val="373518C1"/>
    <w:lvl w:ilvl="0" w:tentative="0">
      <w:start w:val="1"/>
      <w:numFmt w:val="none"/>
      <w:lvlText w:val="一、"/>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6"/>
  </w:num>
  <w:num w:numId="2">
    <w:abstractNumId w:val="2"/>
  </w:num>
  <w:num w:numId="3">
    <w:abstractNumId w:val="1"/>
  </w:num>
  <w:num w:numId="4">
    <w:abstractNumId w:val="5"/>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YWVmZGNmZjk5ZDg0NGE1ZmQzODk2YzRiMGFjNzM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8002813"/>
    <w:rsid w:val="100D1BA1"/>
    <w:rsid w:val="13F14188"/>
    <w:rsid w:val="16464F6A"/>
    <w:rsid w:val="1925050E"/>
    <w:rsid w:val="1A073B05"/>
    <w:rsid w:val="1D327C03"/>
    <w:rsid w:val="1D97DEFF"/>
    <w:rsid w:val="1DFF72E5"/>
    <w:rsid w:val="1EFC6F07"/>
    <w:rsid w:val="22837FA0"/>
    <w:rsid w:val="23C579E4"/>
    <w:rsid w:val="27C02778"/>
    <w:rsid w:val="2C6D169B"/>
    <w:rsid w:val="2FDF85B8"/>
    <w:rsid w:val="2FFFEE04"/>
    <w:rsid w:val="30236F13"/>
    <w:rsid w:val="34DF85B0"/>
    <w:rsid w:val="3B8E1539"/>
    <w:rsid w:val="3B8F36BC"/>
    <w:rsid w:val="44C73785"/>
    <w:rsid w:val="45816007"/>
    <w:rsid w:val="491FF225"/>
    <w:rsid w:val="4FE0721D"/>
    <w:rsid w:val="4FFD214C"/>
    <w:rsid w:val="50446212"/>
    <w:rsid w:val="52291B0B"/>
    <w:rsid w:val="5777D4F5"/>
    <w:rsid w:val="59DD8326"/>
    <w:rsid w:val="5B743E4F"/>
    <w:rsid w:val="5C983D27"/>
    <w:rsid w:val="5DEF592A"/>
    <w:rsid w:val="5FC6BB1E"/>
    <w:rsid w:val="5FF720F1"/>
    <w:rsid w:val="67FF5C0B"/>
    <w:rsid w:val="6B321752"/>
    <w:rsid w:val="6EFC0924"/>
    <w:rsid w:val="6FB74722"/>
    <w:rsid w:val="6FEF8B7E"/>
    <w:rsid w:val="71A6591B"/>
    <w:rsid w:val="725949A6"/>
    <w:rsid w:val="737D59BA"/>
    <w:rsid w:val="747F536B"/>
    <w:rsid w:val="77B82D74"/>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560" w:lineRule="exact"/>
    </w:pPr>
    <w:rPr>
      <w:rFonts w:ascii="仿宋_GB2312" w:hAnsi="Calibri" w:eastAsia="仿宋_GB2312" w:cs="Times New Roman"/>
      <w:sz w:val="30"/>
      <w:szCs w:val="20"/>
    </w:rPr>
  </w:style>
  <w:style w:type="paragraph" w:styleId="3">
    <w:name w:val="Body Text First Indent"/>
    <w:basedOn w:val="2"/>
    <w:qFormat/>
    <w:uiPriority w:val="0"/>
    <w:pPr>
      <w:ind w:firstLine="664"/>
    </w:pPr>
    <w:rPr>
      <w:rFonts w:ascii="Times New Roman" w:hAnsi="Times New Roman" w:eastAsia="宋体" w:cs="Times New Roman"/>
    </w:r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semiHidden/>
    <w:qFormat/>
    <w:uiPriority w:val="0"/>
    <w:pPr>
      <w:snapToGrid w:val="0"/>
      <w:jc w:val="left"/>
    </w:pPr>
    <w:rPr>
      <w:sz w:val="18"/>
      <w:szCs w:val="18"/>
    </w:rPr>
  </w:style>
  <w:style w:type="character" w:customStyle="1" w:styleId="12">
    <w:name w:val="页眉 Char"/>
    <w:basedOn w:val="11"/>
    <w:link w:val="8"/>
    <w:qFormat/>
    <w:uiPriority w:val="99"/>
    <w:rPr>
      <w:sz w:val="18"/>
      <w:szCs w:val="18"/>
    </w:rPr>
  </w:style>
  <w:style w:type="character" w:customStyle="1" w:styleId="13">
    <w:name w:val="页脚 Char"/>
    <w:basedOn w:val="11"/>
    <w:link w:val="7"/>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1"/>
    <w:link w:val="6"/>
    <w:semiHidden/>
    <w:qFormat/>
    <w:uiPriority w:val="99"/>
    <w:rPr>
      <w:sz w:val="18"/>
      <w:szCs w:val="18"/>
    </w:rPr>
  </w:style>
  <w:style w:type="character" w:customStyle="1" w:styleId="17">
    <w:name w:val="font01"/>
    <w:basedOn w:val="11"/>
    <w:qFormat/>
    <w:uiPriority w:val="0"/>
    <w:rPr>
      <w:rFonts w:hint="eastAsia" w:ascii="宋体" w:hAnsi="宋体" w:eastAsia="宋体" w:cs="宋体"/>
      <w:color w:val="000000"/>
      <w:sz w:val="22"/>
      <w:szCs w:val="22"/>
      <w:u w:val="none"/>
    </w:rPr>
  </w:style>
  <w:style w:type="character" w:customStyle="1" w:styleId="18">
    <w:name w:val="font21"/>
    <w:basedOn w:val="11"/>
    <w:qFormat/>
    <w:uiPriority w:val="0"/>
    <w:rPr>
      <w:rFonts w:hint="eastAsia" w:ascii="宋体" w:hAnsi="宋体" w:eastAsia="宋体" w:cs="宋体"/>
      <w:color w:val="000000"/>
      <w:sz w:val="24"/>
      <w:szCs w:val="24"/>
      <w:u w:val="none"/>
    </w:rPr>
  </w:style>
  <w:style w:type="character" w:customStyle="1" w:styleId="19">
    <w:name w:val="font11"/>
    <w:basedOn w:val="11"/>
    <w:qFormat/>
    <w:uiPriority w:val="0"/>
    <w:rPr>
      <w:rFonts w:hint="eastAsia" w:ascii="宋体" w:hAnsi="宋体" w:eastAsia="宋体" w:cs="宋体"/>
      <w:color w:val="000000"/>
      <w:sz w:val="24"/>
      <w:szCs w:val="24"/>
      <w:u w:val="none"/>
    </w:rPr>
  </w:style>
  <w:style w:type="paragraph" w:customStyle="1" w:styleId="20">
    <w:name w:val="BodyText1I2"/>
    <w:basedOn w:val="21"/>
    <w:qFormat/>
    <w:uiPriority w:val="0"/>
    <w:pPr>
      <w:ind w:firstLine="200" w:firstLineChars="200"/>
    </w:pPr>
  </w:style>
  <w:style w:type="paragraph" w:customStyle="1" w:styleId="21">
    <w:name w:val="BodyTextIndent"/>
    <w:basedOn w:val="1"/>
    <w:qFormat/>
    <w:uiPriority w:val="0"/>
    <w:pPr>
      <w:spacing w:after="120"/>
      <w:ind w:left="200" w:leftChars="200"/>
    </w:pPr>
  </w:style>
  <w:style w:type="character" w:customStyle="1" w:styleId="22">
    <w:name w:val="UserStyle_0"/>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13413</Words>
  <Characters>14416</Characters>
  <Lines>63</Lines>
  <Paragraphs>18</Paragraphs>
  <TotalTime>31</TotalTime>
  <ScaleCrop>false</ScaleCrop>
  <LinksUpToDate>false</LinksUpToDate>
  <CharactersWithSpaces>14438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长安长安</cp:lastModifiedBy>
  <cp:lastPrinted>2024-09-26T01:20:00Z</cp:lastPrinted>
  <dcterms:modified xsi:type="dcterms:W3CDTF">2024-09-29T01:28:38Z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BA00F2F2E39F4FCAA7F8B537C1644552_12</vt:lpwstr>
  </property>
</Properties>
</file>